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Cour de cassation: Arrêt du 9 janvier 1997 (Belgique). RG C960412F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Date : 09-01-1997</w:t>
      </w:r>
    </w:p>
    <w:p>
      <w:pPr>
        <w:numPr>
          <w:ilvl w:val="0"/>
          <w:numId w:val="2"/>
        </w:numPr>
      </w:pPr>
      <w:r>
        <w:rPr/>
        <w:t xml:space="preserve">Langue : Français</w:t>
      </w:r>
    </w:p>
    <w:p>
      <w:pPr>
        <w:numPr>
          <w:ilvl w:val="0"/>
          <w:numId w:val="2"/>
        </w:numPr>
      </w:pPr>
      <w:r>
        <w:rPr/>
        <w:t xml:space="preserve">Section : Jurisprudence</w:t>
      </w:r>
    </w:p>
    <w:p>
      <w:pPr>
        <w:numPr>
          <w:ilvl w:val="0"/>
          <w:numId w:val="2"/>
        </w:numPr>
      </w:pPr>
      <w:r>
        <w:rPr/>
        <w:t xml:space="preserve">Source : Justel F-19970109-13</w:t>
      </w:r>
    </w:p>
    <w:p>
      <w:pPr>
        <w:numPr>
          <w:ilvl w:val="0"/>
          <w:numId w:val="2"/>
        </w:numPr>
      </w:pPr>
      <w:r>
        <w:rPr/>
        <w:t xml:space="preserve">Numéro de rôle : C960412F</w:t>
      </w:r>
    </w:p>
    <w:p/>
    <w:p/>
    <w:p>
      <w:pPr/>
      <w:r>
        <w:rPr/>
        <w:t xml:space="preserve">LA COUR,
 Vu la requête déposée au greffe de la Cour le 5 novembre 1996 et tendant au dessaisissement du tribunal de première instance de Marche-en-Famenne de la cause inscrite au rôle général de ce tribunal sous le numéro 158/96;
 Attendu que la requérante expose qu'elle a interjeté appel d'un jugement rendu en cause d'elle-même contre le défendeur en matière de contribution alimentaire pour les enfants nés de l'union des parties; que le défendeur exerce les fonctions de greffier en chef du tribunal saisi de cet appel;
 Attendu que ces circonstances sont de nature à inspirer à la requérante et aux tiers une suspicion légitime quant à la stricte impartialité du tribunal pour statuer en la cause;
 Que la requête est fondée;
 PAR CES MOTIFS,
 Ordonne le dessaisissement du tribunal de première instance de Marche-en-Famenne de la cause inscrite au rôle général de ce tribunal sous le numéro 158/96;
 Réserve les dépens pour qu'il soit statué sur ceux-ci par le juge du fond;
 Renvoie la cause au tribunal de première instance de Neufchâteau.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Généré le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83C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2026-01-22T08:07:08+01:00</dcterms:created>
  <dcterms:modified xsi:type="dcterms:W3CDTF">2026-01-22T08:07:08+01:00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