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23-01-2007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2007009073</w:t>
      </w:r>
    </w:p>
    <w:p>
      <w:pPr>
        <w:numPr>
          <w:ilvl w:val="0"/>
          <w:numId w:val="2"/>
        </w:numPr>
      </w:pPr>
      <w:r>
        <w:rPr/>
        <w:t xml:space="preserve">Auteur : SERVICE PUBLIC FEDERAL JUSTICE</w:t>
      </w:r>
    </w:p>
    <w:p/>
    <w:p/>
    <w:p>
      <w:pPr/>
      <w:r>
        <w:rPr/>
        <w:t xml:space="preserve">Institut national de Criminalistique et de Criminologie
Renouvellement de mandats
Par arrêté royal du 15 janvier 2007 un troisième mandat supplémentaire d'assistant dans le cadre linguistique français de l'Institut national de Criminalistique et de Criminologie est accordé à M. Renard, Bertrand, pour une période d'un an à partir du 16 décembre 2005.
Par arrêté royal du 15 janvier 2007 le mandat d'assistant dans le cadre linguistique néerlandais de l'Institut national de Criminalistique et de Criminologie de M. Maes, Eric, est renouvelé pour deux ans à partir du 1
er décembre 2005.
Conformément aux lois coordonnées sur le Conseil d'Etat, un recours peut être introduit endéans les soixante jours après cette publication. La requête doit être envoyée sous pli recommandé à la poste, au Conseil d'Etat, rue de la Science, 33 à 1040 Bruxelles.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71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2026-05-12T18:43:30+02:00</dcterms:created>
  <dcterms:modified xsi:type="dcterms:W3CDTF">2026-05-12T18:43:30+02:00</dcterms:modified>
</cp:coreProperties>
</file>

<file path=docProps/custom.xml><?xml version="1.0" encoding="utf-8"?>
<Properties xmlns="http://schemas.openxmlformats.org/officeDocument/2006/custom-properties" xmlns:vt="http://schemas.openxmlformats.org/officeDocument/2006/docPropsVTypes"/>
</file>