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464/1, CIR 92 (revenus 2015)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19-04-2014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Regulation</w:t>
      </w:r>
    </w:p>
    <w:p>
      <w:pPr>
        <w:numPr>
          <w:ilvl w:val="0"/>
          <w:numId w:val="2"/>
        </w:numPr>
      </w:pPr>
      <w:r>
        <w:rPr/>
        <w:t xml:space="preserve">Type : Codes and legislation</w:t>
      </w:r>
    </w:p>
    <w:p>
      <w:pPr>
        <w:numPr>
          <w:ilvl w:val="0"/>
          <w:numId w:val="2"/>
        </w:numPr>
      </w:pPr>
      <w:r>
        <w:rPr/>
        <w:t xml:space="preserve">Sub-domain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Article 464/1, CIR 92 (revenus 2015) 
       Article 464/1, CIR 92 (revenus 2015) 
      Document 
          Content exists in : fr  nl  
 Search in text:  
          Print    E-mail    Show properties  
       Properties
       Effective date : 01.01.2014
       Document type : Codes and legislation
       Title : Article 464/1, CIR 92 (revenus 2015)
       Document date : 19/04/2014
       Keywords : impôt sur les revenus / attribution aux provinces / attribution aux communes / attribution aux agglomérations / additionnels au Pr.I
       Document language : FR
       Name : Article 464/1, CIR 92
       Version : 1
          Previous document   Next document   Show list of documents  
 Article 464/1, CIR 92 
 Art. 464/1 est applicable à partir de l'exercice d'imposition 2015 (art. 3 et 7, al. 1, L 19.04.2014 - M.B. 16.05.2014) 
[Historique] [Région flamande]
Par dérogation à l'article 464, les provinces, les agglomérations et les communes peuvent établir des centimes additionnels sur:
1° le précompte immobilier;
2° un impôt régional non visé à l'article 3 de la loi spéciale du 16 janvier 1989 relative au financement des Communautés et des Régions, ayant le revenu cadastral fédéral comme base d'imposition ou comme élément de sa base d'imposition.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184C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2024-05-28T21:45:10+02:00</dcterms:created>
  <dcterms:modified xsi:type="dcterms:W3CDTF">2024-05-28T21:45:10+02:00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