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Hof van Cassatie: Arrest van 6 November 1990 (België). RG 4169</w:t>
      </w:r>
      <w:bookmarkEnd w:id="1"/>
    </w:p>
    <w:p/>
    <w:p/>
    <w:p>
      <w:pPr>
        <w:numPr>
          <w:ilvl w:val="0"/>
          <w:numId w:val="2"/>
        </w:numPr>
      </w:pPr>
      <w:r>
        <w:rPr/>
        <w:t xml:space="preserve">Date : 06-11-1990</w:t>
      </w:r>
    </w:p>
    <w:p>
      <w:pPr>
        <w:numPr>
          <w:ilvl w:val="0"/>
          <w:numId w:val="2"/>
        </w:numPr>
      </w:pPr>
      <w:r>
        <w:rPr/>
        <w:t xml:space="preserve">Language : Dutch</w:t>
      </w:r>
    </w:p>
    <w:p>
      <w:pPr>
        <w:numPr>
          <w:ilvl w:val="0"/>
          <w:numId w:val="2"/>
        </w:numPr>
      </w:pPr>
      <w:r>
        <w:rPr/>
        <w:t xml:space="preserve">Section : Case law</w:t>
      </w:r>
    </w:p>
    <w:p>
      <w:pPr>
        <w:numPr>
          <w:ilvl w:val="0"/>
          <w:numId w:val="2"/>
        </w:numPr>
      </w:pPr>
      <w:r>
        <w:rPr/>
        <w:t xml:space="preserve">Source : Justel N-19901106-8</w:t>
      </w:r>
    </w:p>
    <w:p>
      <w:pPr>
        <w:numPr>
          <w:ilvl w:val="0"/>
          <w:numId w:val="2"/>
        </w:numPr>
      </w:pPr>
      <w:r>
        <w:rPr/>
        <w:t xml:space="preserve">Role number : 4169</w:t>
      </w:r>
    </w:p>
    <w:p/>
    <w:p/>
    <w:p>
      <w:pPr/>
      <w:r>
        <w:rPr/>
        <w:t xml:space="preserve">HET HOF; - Gelet op het bestreden arrest, op 6 december 1989 door het Hof van Beroep te Antwerpen gewezen; I. In zoverre de voorziening gericht is tegen de beslissing op de strafvordering tegen eiser : Over het middel : schending van de artikelen 97 van de Grondwet, 195 en 211 van het Wetboek van Strafvordering, doordat het arrest eiser veroordeelt tot een geldboete van drieduizend frank of een vervangende gevangenisstraf van drie maanden, op grond van de overwegingen "dat de door de eerste rechter uitgesproken strafsanctie niet aangepast is aan de ernst van de inbreuk die (eiser) heeft begaan en de risico's en ongemakken waaraan hij zijn medeburgers heeft blootgesteld", dat "anderzijds het hof (van beroep) ook rekening houdt met zijn goed gerechtelijk verleden", terwijl het arrest nauwkeurig, maar op een wijze die beknopt mag zijn, de redenen moet vermelden waarom de rechter, als de wet hem daartoe de vrije beoordeling overlaat, dergelijke straf of dergelijke maatregel uitspreekt, en bovendien de strafmaat voor elke uitgesproken straf of maatregel moet rechtvaardigen; indien de beklaagde, zoals te dezen, overeenkomstig artikel 56 van het decreet van 2 juli 1981 betreffende het beheer van afvalstoffen gestraft moet worden met gevangenisstraf van acht dagen tot één jaar en met een geldboete van honderd frank tot honderdduizend frank of met één van die straffen alleen, deze bijzondere motiveringsplicht geldt voor wat betreft de keuze van de straf en voor wat betreft de maat van de gekozen straf; het bestreden arrest derhalve, door eiser te veroordelen tot een geldboete van drieduizend frank of een vervangende gevangenisstraf, op de enkele overweging dat "de door de eerste rechter uitgesproken strafsanctie niet aangepast is aan de ernst van de inbreuk die (eiser) begaan heeft en de risico's en ongemakken waaraan hij zijn medeburgers heeft blootgesteld" en rekening houdend "met zijn goed gerechtelijk verleden", nalaat nauwkeurig de redenen aan te geven van de keuze van de geldboete als straf (schending van de in het middel vermelde bepalingen) : Overwegende dat de feiten waaraan eiser schuldig is verklaard krachtens artikel 56 van het voornoemde decreet van de Vlaamse Raad strafbaar zijn gesteld met gevangenisstraf en geldboete of met een van die straffen; Overwegende dat de appelrechters, nu zij eiser enkel veroordelen tot een geldboete, de voor eiser meest gunstige keuze van straf hebben gedaan; dat zij derhalve die keuze niet nader dienden te rechtvaardigen; Dat het middel niet kan worden aangenomen; En overwegende dat de substantiële of op straffe van nietigheid voorgeschreven rechtsvormen in acht zijn genomen en de beslissing overeenkomstig de wet is gewezen; II. In zoverre de voorziening gericht is tegen de beslissing op de civielrechtelijke vordering van verweerster tegen eiser : Overwegende dat eiser geen bijzonder middel aanvoert; Om die redenen, verwerpt de voorziening; veroordeelt eiser in de kosten.</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Generated on 10-11-2024</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8E1DD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2024-11-10T20:43:50+01:00</dcterms:created>
  <dcterms:modified xsi:type="dcterms:W3CDTF">2024-11-10T20:43:50+01:00</dcterms:modified>
</cp:coreProperties>
</file>

<file path=docProps/custom.xml><?xml version="1.0" encoding="utf-8"?>
<Properties xmlns="http://schemas.openxmlformats.org/officeDocument/2006/custom-properties" xmlns:vt="http://schemas.openxmlformats.org/officeDocument/2006/docPropsVTypes"/>
</file>