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Maart 1991 (België). RG 6656</w:t>
      </w:r>
      <w:bookmarkEnd w:id="1"/>
    </w:p>
    <w:p/>
    <w:p/>
    <w:p>
      <w:pPr>
        <w:numPr>
          <w:ilvl w:val="0"/>
          <w:numId w:val="2"/>
        </w:numPr>
      </w:pPr>
      <w:r>
        <w:rPr/>
        <w:t xml:space="preserve">Date : 27-03-1991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N-19910327-9</w:t>
      </w:r>
    </w:p>
    <w:p>
      <w:pPr>
        <w:numPr>
          <w:ilvl w:val="0"/>
          <w:numId w:val="2"/>
        </w:numPr>
      </w:pPr>
      <w:r>
        <w:rPr/>
        <w:t xml:space="preserve">Role number : 6656</w:t>
      </w:r>
    </w:p>
    <w:p/>
    <w:p/>
    <w:p>
      <w:pPr/>
      <w:r>
        <w:rPr/>
        <w:t xml:space="preserve">HET HOF; - Gelet op het bestreden arrest, op 26 januari 1988 door het Hof van Beroep te Luik gewezen;
 Gelet op het arrest van 25 mei 1988 van het Hof (2);
 Gelet op het arrest van 30 november 1990 van het Benelux-Gerechtshof (3);
 Over het middel : ... (4)
 Overwegende dat het eerste gedeelte van artikel 1 van de Gemeenschappelijke Bepalingen behorende bij de Benelux-Overeenkomst betreffende de verplichte aansprakelijkheidsverzekering inzake motorrijtuigen van 24 mei 1966 luidt als volgt : "voor de toepassing van deze wet worden verstaan : onder motorrijtuigen : rij- of voertuigen bestemd om zich over de grond te bewegen en die door een mechanische kracht kunnen worden gedreven, zonder aan spoorstaven te zijn gebonden; al hetgeen aan het rij- of voertuig is gekoppeld, wordt als een deel daarvan aangemerkt";
 Overwegende dat het Benelux-Gerechtshof, in zijn arrest van 30 november 1990, waarin het antwoordt op de door het Hof in zijn arrest van 25 mei 1988 gestelde vraag, voor recht zegt : "De omschrijving van het begrip "motorrijtuigen" in artikel 1 van de Gemeenschappelijke Bepalingen behorende bij de Benelux-Overeenkomst betreffende de verplichte aansprakelijkheidsverzekering inzake motorrijtuigen moet aldus worden uitgelegd, dat als een met het verzekerde motorrijtuig gekoppeld en mitsdien als een deel van dat motorrijtuig in de zin van genoemde omschrijving moet worden aangemerkt, de auto waarvan een deel rust op een aanhangwagen die aan genoemd motorrijtuig is gekoppeld en waarvan het andere deel de grond raakt zodat die auto zich over de grond beweegt als genoemd motorrijtuig rijdt";
 Overwegende dat het bestreden arrest vooraf vaststelt dat verweerder "reed met een vrachtwagen (...) die een aanhangwagen trok waarop zich het achterste gedeelte van een wagen bevond" en vervolgens beslist dat "de burgerlijke aansprakelijkheid (van genoemde verweerder) nochtans gedekt was ten aanzien van derden, aangezien de verzekering van het trekkend voertuig gold voor het gehele konvooi dat slechts één enkel voertuig vormde";
 Dat het arrest de in het middel aangehaalde wettelijke bepalingen niet schendt;
 En overwegende dat de substantiële of op straf van nietigheid voorgeschreven rechtsvormen in acht zijn genomen en de beslissing overeenkomstig de wet is gewezen;
 Om die redenen, verwerpt de voorziening; laat de kosten ten laste van de Staat.
 (2) Cass., 25 mei 1988, A.R. nr. 6656 (A.C., 1987-88, nr. 589).
 (3) Ben. Jur., 30 nov. 1990, zaak A 88/1.
 (4) Zie de tekst van het middel in het arrest van 25 mei 1988 waarvan sprake is in noot (2).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858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2024-05-29T06:31:19+02:00</dcterms:created>
  <dcterms:modified xsi:type="dcterms:W3CDTF">2024-05-29T06:31:19+02:00</dcterms:modified>
</cp:coreProperties>
</file>

<file path=docProps/custom.xml><?xml version="1.0" encoding="utf-8"?>
<Properties xmlns="http://schemas.openxmlformats.org/officeDocument/2006/custom-properties" xmlns:vt="http://schemas.openxmlformats.org/officeDocument/2006/docPropsVTypes"/>
</file>