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September 1993 (België). RG P931145N</w:t>
      </w:r>
      <w:bookmarkEnd w:id="1"/>
    </w:p>
    <w:p/>
    <w:p/>
    <w:p>
      <w:pPr>
        <w:numPr>
          <w:ilvl w:val="0"/>
          <w:numId w:val="2"/>
        </w:numPr>
      </w:pPr>
      <w:r>
        <w:rPr/>
        <w:t xml:space="preserve">Date : 14-09-1993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N-19930914-9</w:t>
      </w:r>
    </w:p>
    <w:p>
      <w:pPr>
        <w:numPr>
          <w:ilvl w:val="0"/>
          <w:numId w:val="2"/>
        </w:numPr>
      </w:pPr>
      <w:r>
        <w:rPr/>
        <w:t xml:space="preserve">Role number : P931145N</w:t>
      </w:r>
    </w:p>
    <w:p/>
    <w:p/>
    <w:p>
      <w:pPr/>
      <w:r>
        <w:rPr/>
        <w:t xml:space="preserve">HET HOF; - Gelet op het bestreden arrest, op 2 juli 1993 gewezen door het Hof van Beroep te Antwerpen, kamer van inbeschuldigingstelling;
 Gelet op de namens eiser ingediende memorie, waarvan een door de griffier van het Hof voor eensluidend verklaarde kopie aan dit arrest is gehecht en daarvan deel uitmaakt;
 Over het middel :
 Overwegende dat de appelrechters in antwoord op het door eiser gevoerde verweer vaststellen "dat ten onrechte opgeworpen wordt dat het stuk, in het dossier "vonnis van aanhouding" genoemd, geen origineel zou zijn of een authentiek afschrift; dat het tegendeel inderdaad uit stuk I, C blijkt, vermits voormeld vonnis in origineel ondertekend werd door de Finse rechter";
 Overwegende dat het stuk I, C, waarnaar de appelrechters verwijzen, deel uitmaakt van de stavingsstukken die door de diplomatieke vertegenwoordiger van de verzoekende Finse regering werden overgemaakt aan de Belgische regering en navolgend door de minister van Justitie aan de procureur des Konings te Antwerpen, wat de erkenning door de aangezochte Belgische regering van de authenticiteit van de kwestieuze stavingsstukken inhoudt;
 Dat de appelrechters door hun motivering eisers verweer verwerpen en hun beslissing naar recht verantwoorden;
 Dat het middel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B1AF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2024-04-19T15:27:15+02:00</dcterms:created>
  <dcterms:modified xsi:type="dcterms:W3CDTF">2024-04-19T15:27:15+02:00</dcterms:modified>
</cp:coreProperties>
</file>

<file path=docProps/custom.xml><?xml version="1.0" encoding="utf-8"?>
<Properties xmlns="http://schemas.openxmlformats.org/officeDocument/2006/custom-properties" xmlns:vt="http://schemas.openxmlformats.org/officeDocument/2006/docPropsVTypes"/>
</file>