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April 1994 (België). RG P930325N</w:t>
      </w:r>
      <w:bookmarkEnd w:id="1"/>
    </w:p>
    <w:p/>
    <w:p/>
    <w:p>
      <w:pPr>
        <w:numPr>
          <w:ilvl w:val="0"/>
          <w:numId w:val="2"/>
        </w:numPr>
      </w:pPr>
      <w:r>
        <w:rPr/>
        <w:t xml:space="preserve">Date : 12-04-1994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N-19940412-6</w:t>
      </w:r>
    </w:p>
    <w:p>
      <w:pPr>
        <w:numPr>
          <w:ilvl w:val="0"/>
          <w:numId w:val="2"/>
        </w:numPr>
      </w:pPr>
      <w:r>
        <w:rPr/>
        <w:t xml:space="preserve">Role number : P930325N</w:t>
      </w:r>
    </w:p>
    <w:p/>
    <w:p/>
    <w:p>
      <w:pPr/>
      <w:r>
        <w:rPr/>
        <w:t xml:space="preserve">HET HOF,
 Gelet op het bestreden arrest, op 28 januari 1993 door het Hof van Beroep te Gent gewezen;
 A. In zoverre de voorziening het herstel op vordering van de gemachtigde ambtenaar of van het college van burgemeester en schepenen betreft;
 Over de eerste grief :
 Overwegende dat het door de rechter in toepassing van artikel 65, alinéa 1, a, van de wet van 29 maart 1962 houdende organisatie van de ruimtelijke ordening en van de stedebouw op vordering van de gemachtigde ambtenaar of van het college van burgemeester en schepenen te bevelen herstel in de vorige staat, wel behoort tot de strafvordering maar niettemin een maatregel van burgerlijke aard is; dat niets belet dat het bevel tot herstel in de vorige staat wordt gegeven bij afzonderlijke beslissing na de uitspraak over de strafvordering;
 Dat de grief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9368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2024-04-20T16:27:54+02:00</dcterms:created>
  <dcterms:modified xsi:type="dcterms:W3CDTF">2024-04-20T16:27:54+02:00</dcterms:modified>
</cp:coreProperties>
</file>

<file path=docProps/custom.xml><?xml version="1.0" encoding="utf-8"?>
<Properties xmlns="http://schemas.openxmlformats.org/officeDocument/2006/custom-properties" xmlns:vt="http://schemas.openxmlformats.org/officeDocument/2006/docPropsVTypes"/>
</file>