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Maart 1996 (België). RG P960083N</w:t>
      </w:r>
      <w:bookmarkEnd w:id="1"/>
    </w:p>
    <w:p/>
    <w:p/>
    <w:p>
      <w:pPr>
        <w:numPr>
          <w:ilvl w:val="0"/>
          <w:numId w:val="2"/>
        </w:numPr>
      </w:pPr>
      <w:r>
        <w:rPr/>
        <w:t xml:space="preserve">Date : 21-03-1996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N-19960321-1</w:t>
      </w:r>
    </w:p>
    <w:p>
      <w:pPr>
        <w:numPr>
          <w:ilvl w:val="0"/>
          <w:numId w:val="2"/>
        </w:numPr>
      </w:pPr>
      <w:r>
        <w:rPr/>
        <w:t xml:space="preserve">Role number : P960083N</w:t>
      </w:r>
    </w:p>
    <w:p/>
    <w:p/>
    <w:p>
      <w:pPr/>
      <w:r>
        <w:rPr/>
        <w:t xml:space="preserve">HET HOF,
 Gelet op het bestreden arrest, op 14 november 1995 door het Hof van Beroep te Gent gewezen;
 Overwegende dat eiser op 18 december 1995 tegen dit arrest, dat op tegenspraak is gewezen, cassatieberoep heeft ingesteld;
 Overwegende dat in strafzaken, buiten het door artikel 40, vierde lid, van de wet van 15 juni 1935 op het gebruik der talen in gerechtszaken beoogde geval, de voorziening tegen een definitief en op tegenspraak gewezen arrest, ingesteld na het verstrijken van de bij artikel 373 van het Wetboek van Straf vordering bepaalde termijn, laattijdig en derhalve niet ontvankelijk is, tenzij eiser van overmacht doet blijken, wat te dezen niet het geval is;
 Dat de voorziening mitsdien niet ontvankelijk is;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7680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2024-04-25T23:55:42+02:00</dcterms:created>
  <dcterms:modified xsi:type="dcterms:W3CDTF">2024-04-25T23:55:42+02:00</dcterms:modified>
</cp:coreProperties>
</file>

<file path=docProps/custom.xml><?xml version="1.0" encoding="utf-8"?>
<Properties xmlns="http://schemas.openxmlformats.org/officeDocument/2006/custom-properties" xmlns:vt="http://schemas.openxmlformats.org/officeDocument/2006/docPropsVTypes"/>
</file>