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mars 2000 (Belgique). RG F000029N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24-03-2000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F-20000324-2</w:t>
      </w:r>
    </w:p>
    <w:p>
      <w:pPr>
        <w:numPr>
          <w:ilvl w:val="0"/>
          <w:numId w:val="2"/>
        </w:numPr>
      </w:pPr>
      <w:r>
        <w:rPr/>
        <w:t xml:space="preserve">Role number : F000029N</w:t>
      </w:r>
    </w:p>
    <w:p/>
    <w:p/>
    <w:p>
      <w:pPr/>
      <w:r>
        <w:rPr/>
        <w:t xml:space="preserve">LA COUR,
 Vu l'arrêt de la Cour du 2 septembre 1999;
 Vu la requête tendant à la rectification de l'arrêt;
 Attendu que l'arrêt statue comme suit : "Casse l'arrêt attaqué, en tant qu'il déclare le recours recevable";
 Qu'il ressort des motifs de l'arrêt que le moyen est accueilli; qu'il suit manifestement de ces motifs que le terme "sauf" a erronément été omis dans le dispositif;
 Que la requête est fondée;
 PAR CES MOTIFS,
 statuant à l'unanimité;
 Dit pour droit qu'il y a lieu d'insérer le terme "sauf" à la première ligne du dispositif, entre les termes "(arrêt) attaqué" et "en tant que", de sorte que la première phrase du dispositif s'entend comme suit : "Casse l'arrêt attaqué, sauf en tant qu'il déclare le recours recevable";
 Ordonne que mention du présent arrêt sera faite en marge de l'arrêt de la Cour du 2 septembre 1999 et de l'arrêt rendu le 4 février 1997 par la cour d'appel d'Anvers;
 Laisse les fais à charge de l'Etat.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C6DA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2024-05-29T04:00:48+02:00</dcterms:created>
  <dcterms:modified xsi:type="dcterms:W3CDTF">2024-05-29T04:00:48+02:00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