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27 septembre 2000 (Belgique). RG 98304/1039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F-20000927-3</w:t>
      </w:r>
    </w:p>
    <w:p>
      <w:pPr>
        <w:numPr>
          <w:ilvl w:val="0"/>
          <w:numId w:val="2"/>
        </w:numPr>
      </w:pPr>
      <w:r>
        <w:rPr/>
        <w:t xml:space="preserve">Role number : 98304/1039</w:t>
      </w:r>
    </w:p>
    <w:p/>
    <w:p/>
    <w:p>
      <w:pPr/>
      <w:r>
        <w:rPr/>
        <w:t xml:space="preserve">(...)
 Objet de la demande
 Dans sa requête, le conseil de la requérante postule une aide principale de 1.023.559 F et évalue le dommage comme suit :
 * frais vestimentaires 1.995 F
 * frais de coiffeur 1.475 F
 * frais médicaux 6.495 F
 * achat d'un véhicule 321.429 F
 * préjudice physico-moral durant les IT 131.000 F
 * préjudice matériel durant les IT 186.165 F
 * préjudice physico- moral définitif
 * dommage matériel définitif 375.000 F
 Recevabilité de la demande
 Il résulte des éléments du dossier que les conditions de recevabilité sont remplies.
 Fondement de la demande
 Tenant compte d'une part :
 - de l'invalidité permanente de 5% que conserve la requérante suite aux faits ;
 - des frais médicaux dûment établis qui ont été à charge de la requérante ;
 - des frais matériels dûment justifiés qui ont été supportés par la requérante mais qui ne peuvent être pris en compte par la Commission qu'à concurrence d'un maximum de 50.000 F ;
 - de ce que suite à l'agression dont elle a été victime, la requérante a vu sa carrière perturbée dans la mesure où elle n'a plus pu travailler de nuit ce qui a engendré dans son chef, une perte de revenus ainsi que de nouvelles charges telles que le placement des enfants en garderie lié à son absence la journée et pendant les congés scolaires) et d'autre part :
 - de ce que le rôle de la Commission est d'apporter une aide aux victimes et non de les indemniser en leur garantissant la réparation totale du préjudice subi ;
 la Commission estime qu'il y a lieu d'accorder à la requérante une aide principale de 210.000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 fondée ;
 - alloue à la requérante une aide principale de 210.000 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949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2024-04-26T18:28:47+02:00</dcterms:created>
  <dcterms:modified xsi:type="dcterms:W3CDTF">2024-04-26T18:28:47+02:00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