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3 mai 2002 (Belgique). RG 99375/1378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03-05-2002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F-20020503-8</w:t>
      </w:r>
    </w:p>
    <w:p>
      <w:pPr>
        <w:numPr>
          <w:ilvl w:val="0"/>
          <w:numId w:val="2"/>
        </w:numPr>
      </w:pPr>
      <w:r>
        <w:rPr/>
        <w:t xml:space="preserve">Role number : 99375/1378</w:t>
      </w:r>
    </w:p>
    <w:p/>
    <w:p/>
    <w:p>
      <w:pPr/>
      <w:r>
        <w:rPr/>
        <w:t xml:space="preserve">()
 Exposé des faits et suites judiciaires
 En date du 26/06/1997, à , dans un débit de boissons à l'enseigne " L' ", 4 individus, membres d'une bande de casseurs de la région, après avoir cherché querelles aux consommateurs et à la requérante, s'en sont pris à son fils, exploitant du café et qui essayait de les calmer. Ils saccagèrent le mobilier, s'en prirent également au mari de la requérante et s'acharnèrent sur son fils à coups de bouteilles et de verres.
 Ils prirent ensuite la fuite à bord d'un véhicule.
 Par arrêt, coulé en force de chose jugée, du 26/06/1998, la Cour d'appel de  condamne les prévenus, les dénommés M., B. et L., entre autres pour les faits susmentionnés, à des peines allant de 6 mois à 5 ans d'emprisonnement.
 Statuant sur les demandes des parties civiles, l'arrêt condamne les prévenus à payer à la requérante la somme provisionnelle de 100.000 F.
 Séquelles médicales
 Dans son rapport du 26/09/2000, l'expert médico-légal conclut que les séquelles relevées du traumatisme sont
 - plaie lèvre supérieure face interne imputable mais non taxable ;
 - genou sec, mobile et stable avec un discret rabot fémoro-patellaire. Aucun préjudice taxable ;
 - anxiété ponctuelle.
 Pretium doloris : 0
 Préjudice esthétique : 0
 Syndrome anxieux mineur
 - ITT du 24/06/1997 au 24/07/1997 : 100%
 ITP du 25/07/1997 au 15/08/1997 : 50%
 ITP du 16/08/1997 au 31/08/1997 : 25%
 Avec consolidation du cas, le 01/09/1997 avec une IPP de 5%
 Recevabilité de la demande
 Il résulte des éléments du dossier que les conditions de recevabilité sont remplies.
 Fondement de la demande
 Tenant compte d'une part,
 - du taux d'invalidité permanente fixée à 5 % par l'expert médical ;
 Tenant compte d'autre part,
 - de l'absence de justificatifs pour des frais médicaux et matériels.
 - de ce que les frais liés à une aide ménagère ne sont pas repris dans la liste limitative de l'article 32 de la loi du 1er août 1985 et, conformément à la jurisprudence de la Commission, ne sont pas à prendre en considération pour l'évaluation du montant de l'aide ;
 - de ce que les intérêts ne sont pas repris dans la liste limitative de l'article 32 de la loi du 1er août 1985 et, conformément à la jurisprudence de la Commission, ne sont pas à prendre en considération pour l'évaluation du montant de l'aide
 la Commission statuant ex aequo et bono, estime devoir accorder à la requérante une aide principale de 3.100 .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contradictoirement à l'égard de la requérante et par défaut à l'égard du délégué du Ministre et en audience publique,
 - déclare la demande recevable et partiellement fondée ;
 - alloue à la requérante une aide principale de 3.100 .
 Ainsi fait, en langue française, le 03 mai 2002.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51A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2024-04-26T02:17:01+02:00</dcterms:created>
  <dcterms:modified xsi:type="dcterms:W3CDTF">2024-04-26T02:17:01+02:00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