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31 janvier 2003 (Belgique). RG M1140/2187</w:t>
      </w:r>
      <w:bookmarkEnd w:id="1"/>
    </w:p>
    <w:p/>
    <w:p/>
    <w:p>
      <w:pPr>
        <w:numPr>
          <w:ilvl w:val="0"/>
          <w:numId w:val="2"/>
        </w:numPr>
      </w:pPr>
      <w:r>
        <w:rPr/>
        <w:t xml:space="preserve">Date : 31-01-2003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F-20030131-1</w:t>
      </w:r>
    </w:p>
    <w:p>
      <w:pPr>
        <w:numPr>
          <w:ilvl w:val="0"/>
          <w:numId w:val="2"/>
        </w:numPr>
      </w:pPr>
      <w:r>
        <w:rPr/>
        <w:t xml:space="preserve">Role number : M1140/2187</w:t>
      </w:r>
    </w:p>
    <w:p/>
    <w:p/>
    <w:p>
      <w:pPr/>
      <w:r>
        <w:rPr/>
        <w:t xml:space="preserve">Exposé des faits et suites judiciaires
 En date du 02 novembre 1996, à ..., le fourgon blindé dans lequel se trouve le requérant et en mission pour l'agence D..., a été attaqué par une bande de malfaiteurs armés. Le requérant a été blessé à la jambe gauche.
 Le requérant s'est constitué partie civile à l'audience publique du 11 février 2002 devant un tribunal roumain, le coupable de nationalité roumaine a été arrêté dans son pays et y est poursuivi.
 Séquelles médicales
 Dans son rapport du 24 décembre 1996, le Docteur Q. souligne que
 - le requérant souffre d'une plaie par balle au niveau du membre inférieur gauche avec fracture pluri-fragmentaire du fémur, diaphysaire et lésion du nerf sciatique.
 Recevabilité de la demande
 Il résulte des éléments du dossier que les conditions de recevabilité sont remplies.
 Fondement de la demande
 Tenant compte d'une part,
 - De ce que les faits ont été qualifiés d'accident du travail ;
 - De ce qu'une assurance est intervenue pendant les périodes d'incapacité ;
 - De ce que les frais médicaux et d'hospitalisation ont été pris en charge par une assurance ;
 Tenant compte d'autre part,
 - De ce que la Commission invite le requérant à introduire une requête pour l'obtention d'une aide principale dès que les conditions de recevabilité sont remplies
 la Commission déclare la demande non fondée.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et en audience publique,
 - déclare la demande recevable mais non fondée ;
 Ainsi fait, en langue française, le 31 janvier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932D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2024-04-25T20:12:54+02:00</dcterms:created>
  <dcterms:modified xsi:type="dcterms:W3CDTF">2024-04-25T20:12:54+02:00</dcterms:modified>
</cp:coreProperties>
</file>

<file path=docProps/custom.xml><?xml version="1.0" encoding="utf-8"?>
<Properties xmlns="http://schemas.openxmlformats.org/officeDocument/2006/custom-properties" xmlns:vt="http://schemas.openxmlformats.org/officeDocument/2006/docPropsVTypes"/>
</file>