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27 octobre 2009 (Belgique). RG M90324/7113</w:t>
      </w:r>
      <w:bookmarkEnd w:id="1"/>
    </w:p>
    <w:p/>
    <w:p/>
    <w:p>
      <w:pPr>
        <w:numPr>
          <w:ilvl w:val="0"/>
          <w:numId w:val="2"/>
        </w:numPr>
      </w:pPr>
      <w:r>
        <w:rPr/>
        <w:t xml:space="preserve">Date : 27-10-2009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F-20091027-2</w:t>
      </w:r>
    </w:p>
    <w:p>
      <w:pPr>
        <w:numPr>
          <w:ilvl w:val="0"/>
          <w:numId w:val="2"/>
        </w:numPr>
      </w:pPr>
      <w:r>
        <w:rPr/>
        <w:t xml:space="preserve">Role number : M90324/7113</w:t>
      </w:r>
    </w:p>
    <w:p/>
    <w:p/>
    <w:p>
      <w:pPr/>
      <w:r>
        <w:rPr/>
        <w:t xml:space="preserve">
Exposé des faits 
Le 26 août 2006 à ..., vers 1h30, le requérant se rend avec sa compagne à une kermesse. Le couple est pris à partie par un groupe de jeunes qui multiplie les grossièretés et moqueries à leur égard. 
Un des jeunes du groupe, Laurent Z., manifestement sous l'effet de la boisson, vient bousculer la compagne du requérant. Ce dernier n'a pas accepté cette attitude et en a fait le reproche à Z. qui pour réponse lui assène de violents coups de poing à la pommette gauche et un second à la mâchoire. 
Suites judiciaires
Le requérant s'est constitué partie civile.
Par jugement du 5 septembre 2008, le Tribunal Correctionnel de ... a condamné Z. à une peine de travail de 80 heures et à verser au requérant la somme de 2.222,88 euros + intérêts. 
Séquelles médicales
Il ressort des rapports médicaux communiqués qu'en suite de l'agression le requérant a présenté :
- des douleurs au maxillaire supérieur gauche ;
- une ecchymose à la paupière inférieure gauche ;
- une contusion et ecchymose à la lèvre supérieure droite ;
- une hypoesthésie dans la région du nerf trijumeau court gauche ;
- une fracture du sinus maxillaire gauche et une petite fracture du plancher orbitaire gauche ;
Dans son rapport d'expertise daté du 25 février 2008, le Dr R. a retenu :
- ITT de 100% du 26 août au 31 août 2006 ;
- ITP de 50% du 1er au 10 septembre 2006 ;
- ITP de 10% du 11 au 30 septembre 2006 ;
- ITP de 5% du 1er octobre 2006 au 31 mars 2007 ;
- Un dommage matériel (efforts accrus au travail) ;
- Un dommage ménager ;
- Une invalidité permanente (consolidation le 31 mars 2007) avec 1% sans répercussion économique et sans pénibilité au travail.
- Vu le dossier de la procédure, 
- Vu le mémoire en réponse du Délégué du Ministre déposé en date du 17 juillet 2009,
- Vu le rapport établi le 3 juillet 2009,
- Vu les notifications aux parties des divers actes ;
Vu la feuille d'audience du 14 octobre 2009,
Entendue à cette audience :
Madame A. DELHEZ, présidente en son rapport,
Le requérant et son conseil n'ont pas comparu et n'ont pas manifesté le souhait d'être entendu,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l'article 31 1° de la loi du 1er août 1985 stipule que la Commission peut octroyer une aide aux personnes qui ont subi un préjudice physique ou psychique important suite à un acte intentionnel de violence;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le requérant a subi un dommage moral ;
- de ce que la période d'incapacité temporaire totale (à 100%) est limitée à moins d'une semaine ;
- de ce que l'expert a retenu une invalidité permanente limitée à 1% sans répercussion économique et sans pénibilité au travail ;
- de ce qu'il n'y a pas de préjudice esthétique ;
- de ce que les frais de soins de santé exposés sont justifiés ;
- de ce qu'il n'y a pas eu perte de revenus suite aux faits ;
- de ce que l'article 31 bis §1 5° de la loi du 1er août 1985 stipule que «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 de ce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de ce qu'à ce titre le requérant n'a bénéficié d'aucune assurance ;
- de ce qu'en outre l'auteur des faits dispose de moyens limités pour assurer l'indemnisation du requérant ayant en outre diverses dettes déjà en cours ;
- de ce que les postes « préjudice ménager », « intérêts », « efforts accrus », « perte de primes », « perte de ticket repas » et « préjudice ménager » ne figurent pas dans l'énumération limitative de l'article 32 de la loi du 1er août 1985 et ne sont donc pas pris en compte par la Commission conformément à sa jurisprudence;
- de ce qu'au vu des éléments précités, le caractère important du préjudice subi n'est pas établi à suffisance ;
- de ce que la requête est dès lors non fondée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27 octobre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4BDE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2024-04-25T21:26:50+02:00</dcterms:created>
  <dcterms:modified xsi:type="dcterms:W3CDTF">2024-04-25T21:26:50+02:00</dcterms:modified>
</cp:coreProperties>
</file>

<file path=docProps/custom.xml><?xml version="1.0" encoding="utf-8"?>
<Properties xmlns="http://schemas.openxmlformats.org/officeDocument/2006/custom-properties" xmlns:vt="http://schemas.openxmlformats.org/officeDocument/2006/docPropsVTypes"/>
</file>