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März 2017 (België). RG 44/2017</w:t>
      </w:r>
      <w:bookmarkEnd w:id="1"/>
    </w:p>
    <w:p/>
    <w:p/>
    <w:p>
      <w:pPr>
        <w:numPr>
          <w:ilvl w:val="0"/>
          <w:numId w:val="2"/>
        </w:numPr>
      </w:pPr>
      <w:r>
        <w:rPr/>
        <w:t xml:space="preserve">Date : 30-03-2017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D-20170330-6</w:t>
      </w:r>
    </w:p>
    <w:p>
      <w:pPr>
        <w:numPr>
          <w:ilvl w:val="0"/>
          <w:numId w:val="2"/>
        </w:numPr>
      </w:pPr>
      <w:r>
        <w:rPr/>
        <w:t xml:space="preserve">Role number : 44/2017</w:t>
      </w:r>
    </w:p>
    <w:p/>
    <w:p/>
    <w:p>
      <w:pPr/>
      <w:r>
        <w:rPr/>
        <w:t xml:space="preserve">
Der Verfassungsgerichtshof, beschränkte Kammer,
zusammengesetzt aus dem Präsidenten E. De Groot und den Richtern R. Leysen und T. Giet, unter Assistenz des Kanzlers P.-Y. Dutilleux,
erlässt nach Beratung folgenden Entscheid:
I. Gegenstand der Vorabentscheidungsfrage und Verfahren
In seinem Urteil vom 20. Dezember 2016 in Sachen Anne Appeltans-Janssen gegen Luc Vingerhoets, dessen Ausfertigung am 5. Januar 2017 in der Kanzlei des Gerichtshofes eingegangen ist, hat der Friedensrichter des Kantons Herentals folgende Vorabentscheidungsfrage gestellt:
« Verstößt Artikel 1022 des Gerichtsgesetzbuches, dahin ausgelegt, dass er nicht auf die gemäß Artikel 13 des Gemeindedekrets vom 15. Juli 2005 eingeleiteten Verfahren vor dem Rat für Wahlstreitsachen Anwendung findet und nicht von Rechts wegen wenigstens zu der in diesen Bestimmungen erwähnten durchschnittlichen Verfahrensentschädigung (nach der im königlichen Erlass vom 21. April 2007 festgelegten Tabelle) berechtigt, gegen die Artikel 10 und 11 der Verfassung in Verbindung mit Artikel 6 der Europäischen Menschenrechtskonvention, insofern der im Rahmen eines Gerichtsverfahrens obsiegenden Partei die im Rahmen dieses Verfahrens entstandenen Kosten automatisch erstattet werden können, während die vor dem Rat für Wahlstreitsachen obsiegende Partei diese Entschädigung im Rahmen des Verfahrens, in dem über den Streitfall entschieden worden ist, nicht beanspruchen kann, dafür aber ein neues Verfahren vor den ordentlichen Rechtsprechungsorganen einleiten und darüber hinaus beweisen muss, dass die kumulativen Bedingungen der Artikel 1382 ff. des Zivilgesetzbuches tatsächlich erfüllt sind, um die Entschädigung zu erhalten? ».
Am 24. Januar 2017 haben die referierenden Richter R. Leysen und T. Giet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Vorabentscheidungsfrage offensichtlich unzulässig ist.
(...)
III. Rechtliche Würdigung
(...)
B.1. Der vorlegende Richter möchte vom Gerichtshof erfahren, ob Artikel 1022 des Gerichtsgesetzbuches mit den Artikeln 10 und 11 der Verfassung in Verbindung mit Artikel 6 der Europäischen Menschenrechtskonvention vereinbar sei, insofern in einem Gerichtsverfahren der obsiegenden Partei eine Verfahrensentschädigung gewährt werde, während in einem Verfahren vor dem Rat für Wahlstreitsachen die obsiegende Partei keine Verfahrensentschädigung erhalten könne und eine Haftpflichtklage vor den ordentlichen Gerichten aufgrund von Artikel 1382 des Zivilgesetzbuches einleiten müsse, wenn sie eine Entschädigung für die entstandenen Kosten erhalten möchte.
B.2. Artikel 1022 des Gerichtsgesetzbuches bestimmt: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außer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B.3. Die vor dem Friedensrichter klagende Partei erhebt eine Klage auf Schadenersatz, die hauptsächlich auf Artikel 1382 des Zivilgesetzbuches beruht, und hilfsweise auf der Lehre von der ungerechtfertigten Bereicherung, weil die beklagte Partei gegen sie ein leichtfertiges und schikanöses Verfahren beim Rat für Wahlstreitsachen eingeleitet hätte.
Der Friedensrichter erklärt die Klage in ihren beiden Teilen für unbegründet, stellt jedoch auf Antrag der klagenden Partei die vorerwähnte Vorabentscheidungsfrage.
B.4. Ungeachtet dessen, wie die Antwort des Gerichtshofes auf die Vorabentscheidungsfrage ausfällt, könnte diese Antwort der Lösung des Streitfalls im Ausgangsverfahren nicht dienlich sein. Der Friedensrichter könnte sich nämlich nicht dazu äußern, ob eine Verfahrensentschädigung im Rahmen eines Verfahrens vor dem Rat für Wahlstreitsachen, das abgeschlossen ist und in dem sich dieser Rat für unzuständig erklärt hat, zu entrichten ist oder nicht.
In ihrem Schriftsatz ersucht die vor dem vorlegenden Richter klagende Partei den Gerichtshof, die Vorabentscheidungsfrage in dem Sinne umzuformulieren, dass der Gerichtshof nicht zur Verfassungsmäßigkeit von Artikel 1022 des Gerichtsgesetzbuches, sondern von Artikel 1382 des Zivilgesetzbuches befragt werden würde.
Es ist nicht Sache der Parteien, den Inhalt der dem Gerichtshof gestellten Fragen zu ändern oder ändern zu lassen, und es obliegt nur dem vorlegenden Richter, zu beurteilen, welche Vorabentscheidungsfrage er dem Gerichtshof zu stellen hat, und dabei den Umfang der Anhängigmachung zu bestimmen.
B.5. Die Vorabentscheidungsfrage braucht demzufolge nicht beantwortet zu werden, da die Antwort der Lösung des Streitfalls im Ausgangsverfahren offensichtlich nicht dienlich ist.
Aus diesen Gründen:
Der Gerichtshof, beschränkte Kammer,
einstimmig entscheidend,
stellt fest, dass die Vorabentscheidungsfrage unzulässig ist.
Erlassen in niederländischer und französischer Sprache, gemäß Artikel 65 des Sondergesetzes vom 6. Januar 1989 über den Verfassungsgerichtshof, am 30. März 2017.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2C73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2024-04-19T12:00:19+02:00</dcterms:created>
  <dcterms:modified xsi:type="dcterms:W3CDTF">2024-04-19T12:00:19+02:00</dcterms:modified>
</cp:coreProperties>
</file>

<file path=docProps/custom.xml><?xml version="1.0" encoding="utf-8"?>
<Properties xmlns="http://schemas.openxmlformats.org/officeDocument/2006/custom-properties" xmlns:vt="http://schemas.openxmlformats.org/officeDocument/2006/docPropsVTypes"/>
</file>