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(België). RG C.18.0509.N</w:t>
      </w:r>
      <w:bookmarkEnd w:id="1"/>
    </w:p>
    <w:p/>
    <w:p/>
    <w:p>
      <w:pPr>
        <w:numPr>
          <w:ilvl w:val="0"/>
          <w:numId w:val="2"/>
        </w:numPr>
      </w:pPr>
      <w:r>
        <w:rPr/>
        <w:t xml:space="preserve">Date : 07-06-2019</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N-20190607-3</w:t>
      </w:r>
    </w:p>
    <w:p>
      <w:pPr>
        <w:numPr>
          <w:ilvl w:val="0"/>
          <w:numId w:val="2"/>
        </w:numPr>
      </w:pPr>
      <w:r>
        <w:rPr/>
        <w:t xml:space="preserve">Role number : C.18.0509.N</w:t>
      </w:r>
    </w:p>
    <w:p/>
    <w:p/>
    <w:p>
      <w:pPr/>
      <w:r>
        <w:rPr/>
        <w:t xml:space="preserve">
Hof van Cassatie van België
Arrest
Nr. C.18.0509.N
SMETS ALGEMENE AANNEMINGEN bvba, met zetel te 2470 Retie, Mo-lendijk 20,
eiseres,
vertegenwoordigd door mr. Paul Wouters, advocaat bij het Hof van Cassatie, met kantoor te 3000 Leuven, Koning Leopold I-straat 3, waar de eiseres woonplaats kiest,
tegen
LAMBRECHT NUMMER EEN IN BANDEN nv, met zetel te 9100 Sint-Niklaas, Oostjachtpark 7,
verweerster.
I. RECHTSPLEGING VOOR HET HOF
Het cassatieberoep is gericht tegen het arrest van het hof van beroep te Brussel van 28 juni 2018.
Eerste advocaat-generaal Ria Mortier heeft op 21 maart 2019 een schriftelijke conclusie neergelegd.
Sectievoorzitter Eric Dirix heeft verslag uitgebracht.
Eerste advocaat-generaal Ria Mortier heeft geconcludeerd.
II. CASSATIEMIDDEL
De eiseres voert in haar verzoekschrift dat aan dit arrest is gehecht, een middel aan.
III. BESLISSING VAN HET HOF
Beoordeling
1. Krachtens artikel 1641 Burgerlijk Wetboek is de verkoper gehouden tot vrijwaring voor de verborgen gebreken van de verkochte zaak, die deze onge-schikt maken tot het gebruik waartoe men ze bestemt, of die dit gebruik zodanig verminderen dat de koper, indien hij de gebreken had gekend, de zaak niet of slechts voor een mindere prijs zou hebben gekocht.
Het verborgen gebrek is het gebrek dat de koper bij de levering niet kon of niet moest kunnen vaststellen.
Wanneer de verkochte zaak door een verborgen gebrek is aangetast, kan de koper alleen de rechtsvordering tot vrijwaring voor verborgen gebreken instellen en niet de rechtsvordering wegens niet-nakoming van de verbintenis om de zaak te leveren conform de verkochte zaak.
2. De appelrechters stellen vast en oordelen dat:
- de eiseres zich tot de verweerster wendde om snel goedkope banden te krijgen voor haar vrachtwagens;
- de verweerster op 31 augustus 2006 vier banden factureerde, gevolgd door een factuur van 12 oktober 2006 voor twee herstellingen;
- de eiseres aan de verweerster liet weten de facturen niet te betalen omdat de banden kerven vertoonden;
- de vordering van de eiseres op grond van een verborgen gebrek, laattijdig werd ingesteld.
De appelrechters oordelen, niet-bekritiseerd, met overname van de redenen van de eerste rechter, dat de banden behept waren met een verborgen gebrek in de zin van artikel 1641 Burgerlijk Wetboek.
3. De appelrechters die oordelen dat de tegenvordering van de eiseres onge-grond is in de mate dat zij hierop is gebaseerd dat de verweerster haar verplich-ting tot levering van een conforme zaak niet is nagekomen, verantwoorden hun beslissing naar recht.
Het middel kan niet worden aangenomen.
Dictum
Het Hof,
eenparig beslissend,
Verwerpt het cassatieberoep.
Veroordeelt de eiseres tot de kosten.
Bepaalt de kosten voor de eiseres op 860,75 euro.
Dit arrest is gewezen te Brussel door het Hof van Cassatie, eerste kamer, samen-gesteld uit sectievoorzitter Eric Dirix, als voorzitter, sectievoorzitter Alain Smetryns, en raadsheren Koen Mestdagh, en in openbare rechtszitting van 7 juni 2019 uitgesproken door sectievoorzitter Eric Dirix, in aanwezigheid van eerste advocaat-generaal Ria Mortier, met bijstand van griffier Kristel Vanden Bos-sche.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2E93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2024-05-29T05:28:29+02:00</dcterms:created>
  <dcterms:modified xsi:type="dcterms:W3CDTF">2024-05-29T05:28:29+02:00</dcterms:modified>
</cp:coreProperties>
</file>

<file path=docProps/custom.xml><?xml version="1.0" encoding="utf-8"?>
<Properties xmlns="http://schemas.openxmlformats.org/officeDocument/2006/custom-properties" xmlns:vt="http://schemas.openxmlformats.org/officeDocument/2006/docPropsVTypes"/>
</file>