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modification de l'arrêté royal du 2 avril 2003 fixant les délais d'entrée en vigueur des dispositions de la loi du 27 juin 1921 accordant la personnalité juridique aux associations sans but lucratif et aux établissements d'utilité publique, telle que modifiée par la loi du 2 mai 2002 sur les associations sans but lucratif, les associations internationales sans but lucratif et les fondations et la loi du 16 janvier 2003 portant création d'une Banque-Carrefour des Entreprises, modernisation du registre du commerce, création de guichets-entreprises agréés et portant diverses dispositions.</w:t>
      </w:r>
      <w:bookmarkEnd w:id="1"/>
    </w:p>
    <w:p/>
    <w:p/>
    <w:p>
      <w:pPr>
        <w:numPr>
          <w:ilvl w:val="0"/>
          <w:numId w:val="2"/>
        </w:numPr>
      </w:pPr>
      <w:r>
        <w:rPr/>
        <w:t xml:space="preserve">Date : 08-12-2004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2004009831</w:t>
      </w:r>
    </w:p>
    <w:p/>
    <w:p/>
    <w:p>
      <w:pPr/>
      <w:r>
        <w:rPr/>
        <w:t xml:space="preserve">Article 1 A l'article 5 de l'arrêté royal portant modification de l'arrêté royal du 2 avril 2003 fixant les délais d'entrée en vigueur des dispositions de la loi du 27 juin 1921 accordant la personnalité juridique aux associations sans but lucratif et aux établissements d'utilité publique, telle que modifiée par la loi du 2 mai 2002 sur les associations sans but lucratif, les associations internationales sans but lucratif et les fondations et la loi du 16 janvier 2003 portant création d'une Banque- Carrefour des Entreprises, modernisation du registre du commerce, création de guichets-entreprises agréés et portant diverses dispositions, les mots " d'un délai d'un an " sont remplacés par les mots " d'un délai de deux ans ".
Article 2 A l'article 6 du même arrêté, les mots " à compter du 1er janvier 2004, d'un délai d'un an " sont remplacés par les mots " à partir de l'exercice comptable commençant le 1er janvier 2004 ou après cette date d'un délai de deux ans ".
Article 3 Le présent arrêté entre en vigueur le jour de sa publication au Moniteur belge.
Article 4 Notre Ministre de la Justice est chargée de l'exécution du présent arrêté.
  Donné à Bruxelles, le 8 décembre 2004.
  ALBERT
  Par le Roi :
  La Ministre de la Justice,
  Mme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B9D2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2024-05-28T20:08:58+02:00</dcterms:created>
  <dcterms:modified xsi:type="dcterms:W3CDTF">2024-05-28T20:08:58+02:00</dcterms:modified>
</cp:coreProperties>
</file>

<file path=docProps/custom.xml><?xml version="1.0" encoding="utf-8"?>
<Properties xmlns="http://schemas.openxmlformats.org/officeDocument/2006/custom-properties" xmlns:vt="http://schemas.openxmlformats.org/officeDocument/2006/docPropsVTypes"/>
</file>