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Reglement van de Nationale Bank van België van 27 januari 2015 over de door de kredietinstellingen en de verzekeringsondernemingen periodiek te verstrekken informatie in het kader van de thematische volksleningen</w:t>
      </w:r>
      <w:bookmarkEnd w:id="1"/>
    </w:p>
    <w:p/>
    <w:p/>
    <w:p>
      <w:pPr>
        <w:numPr>
          <w:ilvl w:val="0"/>
          <w:numId w:val="2"/>
        </w:numPr>
      </w:pPr>
      <w:r>
        <w:rPr/>
        <w:t xml:space="preserve">Date : 27-01-2015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2015A03111</w:t>
      </w:r>
    </w:p>
    <w:p/>
    <w:p/>
    <w:p>
      <w:pPr/>
      <w:r>
        <w:rPr/>
        <w:t xml:space="preserve">Artikel 1 § 1. Voor de toepassing van dit reglement wordt verstaan onder :
  1° "de wet" : de wet van 26 december 2013 houdende diverse bepalingen inzake de thematische volksleningen;
  2° "het besluit" : het koninklijk besluit van 28 februari 2014 houdende uitvoering van artikel 9, eerste lid van de wet van 26 december 2013 houdende diverse bepalingen inzake de thematische volksleningen tot vaststelling van de geschikte projecten voor financiering in het kader van een thematische volkslening.
  § 2. De definities van artikel 2 van de wet gelden eveneens voor de toepassing van dit reglement.
Artikel 2 Dit reglement is van toepassing op de kredietinstellingen en de verzekeringsondernemingen als gedefinieerd in de wet.
Artikel 3 De kredietinstellingen bezorgen aan de NBB een periodieke staat met de volgende elementen :
  1° een tabel waarin de som wordt vermeld, op de datum van afsluiting van het boekjaar, van alle verrichtingen die de instelling tot op die datum in het kader van de wet heeft uitgevoerd, uitgesplitst als volgt :
  a) het totaal bedrag van de krachtens artikel 4 van de wet ingezamelde financieringsmiddelen, evenals de uitsplitsing van dit bedrag in kasbons, termijndeposito's en interbankenleningen;
  b) de opbrengsten van de overeenkomstig artikel 11, § 1, vierde lid van de wet uitgevoerde beleggingen;
  c) het totaal bedrag van de overeenkomstig de artikelen 9 tot 11 van de wet aangewende middelen evenals de uitsplitsing van dit bedrag in geschikte projecten als gedefinieerd in het besluit en in beleggingen als bedoeld in artikel 11, § 1 van de wet; het totaal bedrag van de geschikte projecten dient te worden uitgesplitst in enerzijds het totaal bedrag aangewend voor leningen en anderzijds het totaal bedrag aangewend voor kredietlijnen aan het cliënteel;
  d) de bedragen aangewend voor geschikte projecten, uitgesplitst per type van project, volgens de nomenclatuur van artikel 1 van het besluit;
  e) de overeenkomstig artikel 11, § 1 uitgevoerde beleggingen, uitgesplitst per type van voldoende liquide en weinig risicovolle activa als gedefinieerd in artikel 2, 16° van de wet;
  f) de eventuele andere beleggingen dan de voornoemde, die met de in het kader van de wet ingezamelde middelen zijn uitgevoerd.
  2° een tabel waarin voor het afgelopen boekjaar en voor het voorgaande boekjaar de uitsplitsing per kalendermaand wordt vermeld, enerzijds van de overeenkomstig artikel 4 van de wet ingezamelde bedragen, vermeerderd met de geboekte netto-inkomsten (artikel 11 van de wet) en de ontvangen interbankenleningen (artikel 6 van de wet) en anderzijds van de bedragen aangewend voor geschikte leningen als gedefinieerd in het besluit, vermeerderd met de verstrekte interbankenleningen (artikel 6 van de wet).
Artikel 4 De verzekeringsondernemingen bezorgen aan de NBB en periodieke staat met de volgende elementen :
  1° een tabel waarin de som wordt vermeld, op de datum van afsluiting van het boekjaar, van alle verrichtingen die de onderneming tot op die datum in het kader van de wet heeft uitgevoerd, uitgesplitst als volgt :
  a) het totaal bedrag van de krachtens artikel 5 van de wet door middel van verzekeringsovereenkomsten ingezamelde financieringsmiddelen;
  b) de opbrengsten van de overeenkomstig artikel 11, § 1, vierde lid van de wet uitgevoerde beleggingen;
  c) het totaal bedrag van de overeenkomstig de artikelen 9 tot 11 van de wet aangewende middelen evenals de uitsplitsing van dit bedrag in geschikte projecten als gedefinieerd in het besluit en in beleggingen als bedoeld in artikel 11, § 1 van de wet;
  d) de bedragen aangewend voor geschikte projecten, uitgesplitst per type van project, volgens de nomenclatuur van artikel 1 van het besluit;
  e) de overeenkomstig artikel 11, § 1 uitgevoerde beleggingen, uitgesplitst per type van voldoende liquide en weinig risicovolle activa als gedefinieerd in artikel 2, 16° van de wet;
  f) de eventuele andere beleggingen dan de voornoemde, die met de in het kader van de wet ingezamelde middelen zijn uitgevoerd.
  2° een tabel waarin voor het afgelopen boekjaar en voor het voorgaande boekjaar de uitsplitsing per kalendermaand wordt vermeld, enerzijds van de overeenkomstig artikel 5 van de wet ingezamelde bedragen, vermeerderd met de geboekte netto-inkomsten (artikel 11 van de wet) en anderzijds van de bedragen aangewend voor geschikte leningen als gedefinieerd in het besluit.
Artikel 5 § 1. De in de artikelen 3 en 4 bedoelde periodieke staten dienen te worden opgesteld op de datum van afsluiting van het statutair boekjaar en moeten jaarlijks aan de NBB worden bezorgd binnen 60 werkdagen volgend op de genoemde datum van afsluiting. Deze staten dienen voor het eerst te worden meegedeeld aan de NBB op basis van de situatie op 31 december 2015 (of op iedere andere eerste afsluitingsdatum na 30 juni 2015).
  § 2. In afwijking van § 1 dienen de inlichtingen bedoeld in de artikelen 3, 1° en 4, 1° aan de NBB te worden meegedeeld tegen 31 augustus 2015, op basis van de situatie op 30 juni 2015.
Artikel 6 De NBB kan via circulaire het formaat bepalen van de periodieke staten bedoeld in de artikelen 3 en 4, evenals de technische modaliteiten voor de mededeling ervan, en de nodige instructies vastleggen voor de tenuitvoerlegging van dit reglement.
  De NBB kan via circulaire ook de mededeling opleggen van automatisch gegenereerde totalen, overdrachten en percentages van de overeenkomstig de artikelen 3 en 4 gerapporteerde bedragen. De NBB kan in het formaat van de tabellen ook automatische tests invoeren om na te gaan of de artikelen 10 en 11 van de wet zijn nageleefd.
Artikel 7 Dit besluit treedt in werking op de datum van inwerkingtreding van het koninklijk besluit waarbij het wordt goedgekeurd.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61E1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2024-04-30T23:27:04+02:00</dcterms:created>
  <dcterms:modified xsi:type="dcterms:W3CDTF">2024-04-30T23:27:04+02:00</dcterms:modified>
</cp:coreProperties>
</file>

<file path=docProps/custom.xml><?xml version="1.0" encoding="utf-8"?>
<Properties xmlns="http://schemas.openxmlformats.org/officeDocument/2006/custom-properties" xmlns:vt="http://schemas.openxmlformats.org/officeDocument/2006/docPropsVTypes"/>
</file>