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2003003468</w:t>
      </w:r>
    </w:p>
    <w:p>
      <w:pPr>
        <w:numPr>
          <w:ilvl w:val="0"/>
          <w:numId w:val="2"/>
        </w:numPr>
      </w:pPr>
      <w:r>
        <w:rPr/>
        <w:t xml:space="preserve">Author : MINISTERE DES FINANCES</w:t>
      </w:r>
    </w:p>
    <w:p/>
    <w:p/>
    <w:p>
      <w:pPr/>
      <w:r>
        <w:rPr/>
        <w:t xml:space="preserve">Administration du recouvrement. - Mutations
Par arrêté du 27 août 2002, les fonctionnaires désignés au tableau ci-dessous, sont mutés, à leur demande, à la résidence et à la date mentionnées dans les colonnes 4 et 5 dudit tableau.
Pour la consultation du tableau, voir image 
Les fonctionnaires désignés au tableau ci-dessous, sont mutés, à leur demande, à l'emploi auquel est attachée la fonction de chef de service, désigné dans les colonnes 4 et 5 dudit tableau. 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937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2024-05-28T20:52:50+02:00</dcterms:created>
  <dcterms:modified xsi:type="dcterms:W3CDTF">2024-05-28T20:52:50+02:00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