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25-02-2004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2004200448</w:t>
      </w:r>
    </w:p>
    <w:p>
      <w:pPr>
        <w:numPr>
          <w:ilvl w:val="0"/>
          <w:numId w:val="2"/>
        </w:numPr>
      </w:pPr>
      <w:r>
        <w:rPr/>
        <w:t xml:space="preserve">Author : MINISTERE DE LA REGION WALLONNE</w:t>
      </w:r>
    </w:p>
    <w:p/>
    <w:p/>
    <w:p>
      <w:pPr/>
      <w:r>
        <w:rPr/>
        <w:t xml:space="preserve">Direction générale des Ressources naturelles et de l'Environnement. - Office wallon des déchets Autorisation de transferts transfrontaliers de déchets DE 1600 105312 
L'autorité compétente wallonne en matière de transferts transfrontaliers de déchets,
Vu le Règlement 259/93/CEE du Conseil du 1
er février 1993 concernant la surveillance et le contrôle des transferts de déchets à l'intérieur, à l'entrée et à la sortie de la Communauté européenne;
Vu l'arrêté du Gouvernement wallon du 9 juin 1994 et tel que modifié, pris en application du Règlement 259/93/CEE du 1
er février 1993 concernant la surveillance et le contrôle des transferts de déchets à l'intérieur, à l'entrée et à la sortie de la Communauté européenne;
Vu l'arrêté ministériel du 29 janvier 2003 octroyant délégation au Directeur général des Ressources naturelles et de l'Environnement;
Vu la demande d'autorisation de transferts transfrontaliers de déchets introduite par le notifiant;
Considérant que la demande a été déclarée complète et recevable;
Considérant que les dispositions prévues par les législations précitées sont rencontrées par le demandeur,
Décide : 
Article 1
er . L'autorisation de transfert, DE 1600 105312, d'Allemagne vers la Région wallonne de Belgique, des déchets visés à l'article 2, est accordée.
Art. 2. Les déchets visés respectent les caractéristiques suivantes :
Pour la consultation du tableau, voir image 
Namur, le 28 novembre 2003.
* A.G.W. du 10/07/97 établissant un catalogue des déchets.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4D038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2024-06-03T17:11:04+02:00</dcterms:created>
  <dcterms:modified xsi:type="dcterms:W3CDTF">2024-06-03T17:11:04+02:00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