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10-10-2011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2011204927</w:t>
      </w:r>
    </w:p>
    <w:p>
      <w:pPr>
        <w:numPr>
          <w:ilvl w:val="0"/>
          <w:numId w:val="2"/>
        </w:numPr>
      </w:pPr>
      <w:r>
        <w:rPr/>
        <w:t xml:space="preserve">Author : VLAAMSE OVERHEID</w:t>
      </w:r>
    </w:p>
    <w:p/>
    <w:p/>
    <w:p>
      <w:pPr/>
      <w:r>
        <w:rPr/>
        <w:t xml:space="preserve">Beheer inventaris in het kader van de heffing ter bestrijding van de verkrotting van gebouwen en/of woningen 
Bij ministerieel besluit van 28 september 2011 wordt de stad Ninove ontheven van het beheer van de inventaris van ongeschikte en/of onbewoonbare woningen en verwaarloosde gebouwen en/of woningen in het kader van het besluit van de Vlaamse Regering ter bestrijding van de verkrotting van gebouwen en/of woningen met ingang van 1 januari 2012.
Bij ministerieel besluit van 28 september 2011 wordt de gemeente Vleteren ontheven van het beheer van de inventaris van ongeschikte en/of onbewoonbare woningen en verwaarloosde gebouwen en/of woningen in het kader van het besluit van de Vlaamse Regering ter bestrijding van de verkrotting van gebouwen en/of woningen met ingang van 1 januari 2012.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431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2024-05-28T21:24:22+02:00</dcterms:created>
  <dcterms:modified xsi:type="dcterms:W3CDTF">2024-05-28T21:24:22+02:00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