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08-02-2021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2021200441</w:t>
      </w:r>
    </w:p>
    <w:p>
      <w:pPr>
        <w:numPr>
          <w:ilvl w:val="0"/>
          <w:numId w:val="2"/>
        </w:numPr>
      </w:pPr>
      <w:r>
        <w:rPr/>
        <w:t xml:space="preserve">Author : WAALSE OVERHEIDSDIENST</w:t>
      </w:r>
    </w:p>
    <w:p/>
    <w:p/>
    <w:p>
      <w:pPr/>
      <w:r>
        <w:rPr/>
        <w:t xml:space="preserve">Waalse Overheidsdienst Fiscaliteit. - Registratierechten Bericht in verband met de jaarlijkse indexering van bepaalde bedragen vanaf 1 januari 2021 
De bedragen worden jaarlijks verhoudingsgewijs aangepast aan de evolutie van het indexcijfer van de consumptieprijzen tussen de maanden juni van het lopende jaar (109,52) en van het vorige jaar (108,87).
A. Op 1 januari 2021 te indexeren bedragen die voorkomen in artikel 53ter, zoals gewijzigd bij artikel 143 van het programmadecreet van 12 december 2014 houdende verschillende maatregelen betreffende de begroting inzake natuurrampen, verkeersveiligheid, openbare werken, energie, huisvesting, leefmilieu, ruimtelijke ordening, dierenwelzijn, landbouw en fiscaliteit, en in artikel 57bis van het Wetboek der registratie-, hypotheek- en griffierechten.
   Wettelijke bepaling van het voornoemde Wetboek der registratie-, hypotheek- en griffierechten 
   Bedragen op 1 januari 2020 
   Geïndexeerde bedragen die vanaf 1 januari 2021 van toepassing zijn 
   Art. 53ter, § 1 : 
   - Onroerend goed gelegen in een vastgoeddrukgebied 
   174.000,61 EUR 
   175.039,47 EUR 
   - Onroerend goed gelegen buiten voornoemd gebied 
   163.125,56 EUR 
   164.099,49 EUR 
   Art. 57bis, § 1 : 
   - Onroerend goed gelegen in een vastgoeddrukgebied 
   240.006,90 EUR 
   241.439,84 EUR 
   - Onroerend goed gelegen buiten voornoemd gebied 
   229.206,60 EUR 
   230.575,06 EUR
B. De lijst van de gemeenten die in de vastgoeddrukgebieden bedoeld bij de artikelen 53ter, § 1, en 57bis, § 1 van het Wetboek der registratie-, hypotheek- en griffierechten voorkomen, is de volgende: Aarlen, Attert, Bevekom, Eigenbrakel, Kasteelbrakel, Chastre, Chaumont-Gistoux, Court-Saint-Etienne, Enghien, Genepiën, Graven, Incourt, Itter, Geldenaken, La Bruyère, Terhulpen, Lasne, Messancy, Mont-Saint-Guibert, Neupré, Nijvel, Ottignies-Louvain-la-Neuve, Rixensart, Silly, Villers-la-Ville, Walhain, Waterloo, Waver.
Namen, 31 december 2020.
Bij volmacht, de Directeur
L. DESIRON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ADA8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2024-05-30T06:20:06+02:00</dcterms:created>
  <dcterms:modified xsi:type="dcterms:W3CDTF">2024-05-30T06:20:06+02:00</dcterms:modified>
</cp:coreProperties>
</file>

<file path=docProps/custom.xml><?xml version="1.0" encoding="utf-8"?>
<Properties xmlns="http://schemas.openxmlformats.org/officeDocument/2006/custom-properties" xmlns:vt="http://schemas.openxmlformats.org/officeDocument/2006/docPropsVTypes"/>
</file>