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500.074 dd. 17.11.2005</w:t>
      </w:r>
      <w:bookmarkEnd w:id="1"/>
    </w:p>
    <w:p/>
    <w:p/>
    <w:p>
      <w:pPr>
        <w:numPr>
          <w:ilvl w:val="0"/>
          <w:numId w:val="2"/>
        </w:numPr>
      </w:pPr>
      <w:r>
        <w:rPr/>
        <w:t xml:space="preserve">Date : 17-11-2005</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500.074 dd. 17.11.2005 
       Décision anticipée n° 500.074 dd. 17.11.2005 
      Document 
          Content exists in : fr  nl  
 Search in text:  
          Print    E-mail    Show properties  
       Properties
       Document type : Prior agreements L 24.12.2002
       Title : Décision anticipée n° 500.074 dd. 17.11.2005
       Tax year : 0
       Document date : 17/11/2005
       Keywords : Avantage anormal ou bénévole
       Document language : FR
       Name : 500.074
500.074
Décision anticipée n° 500.074 dd. 17.11.2005
   Avantage anormal ou bénévole
    Détermination des prix de transfert
Résumé
La demande tend à savoir si les indemnités qu'une SA belge recevra d'entreprises liées pour les services qu'elle a fournis, sont conformes au principe de pleine concurrence " at arm's length " contenu à l'art. 185, § 2 du Code des impôts sur les revenus 1992 (CIR 92) et si ces indemnités ne génèrent pas un avantage anormal ou bénévole visé aux articles 26, 79 et 207 CIR92.
La décision est publiée uniquement dans la langue dans laquelle la demande a été introduite.
Voorwerp van aanvraag
I. Gestelde vragen
De aanvraag strekt ertoe te vernemen of:
1. de vergoedingen die een Belgische NV zal ontvangen van verbonden ondernemingen voor de door haar geleverde diensten in overeenstemming zijn met het arm's length principe zoals vervat in artikel 185, § 2 van het Wetboek van de inkomstenbelastingen 1992 (WIB 92) en dat deze vergoedingen geen aanleiding geven tot het bestaan van enig abnormaal of goedgunstig voordeel zoals bepaald in de artikelen 26, 79 en 207 WIB 92.
II. Omschrijving van de verrichtingen
II.A. Overzicht van de activiteiten van de groep waartoe de Belgische NV behoort
2. De Belgische NV maakt deel uit van een groep die haar hoofdkwartier in Groot-Brittannië heeft.
3. De groep is werkzaam op het gebied van elektronische automatiserings-, besturings, en aandrijvingsystemen.
4. De groep is na recente herstructureringen vandaag georganiseerd in zes business units.
II B. Beschrijving van de diensten die zullen worden geleverd door de Belgische vennootschap
5. De aard van de activiteiten die thans door de Belgische NV worden uitgeoefend - en die in de toekomst onveranderd zullen uitgeoefend worden - zijn beperkt tot activiteiten van boekhoudkundige en administratieve ondersteunende aard.
6. De activiteiten kunnen worden onderverdeeld in drie categorieën :
        boekhoudkundige ondersteuning met betrekking tot het aankoopproces;
        ondersteuning bij facturatie;
        ondersteuning met betrekking tot het beheer van het grootboek. 
7. De NV zal deze ondersteunende diensten verlenen aan groepsondernemingen die hoofdzakelijk behoren tot twee van de zes business units.
8. De NV heeft momenteel een 40-tal werknemers. 9. De NV heeft een middelenverbintenis om haar activiteiten zo goed en zorgvuldig mogelijk uit te voeren, waardoor de ondernemingsrisico's en andere risico's quasi onbestaande zijn.
10. De NV werd de toelating verleend om de bepalingen toe te passen van de circulaire Ci.RH.421/483.766 van 26 juli 1996 met betrekking tot het bijzonder aanslagstelsel voor dienstencentra die zich in België vestigen.
III. Motivering van de aanvraag
11. Een analyse werd uitgevoerd om een arm's length vergoeding te bepalen. Deze werd uitgevoerd binnen het kader van de algemeen aanvaarde OESO richtlijnen met betrekking tot verrekenprijzen en de Belgische regelgeving met betrekking tot verrekenprijzen.
12. Aangezien de Belgische NV slechts minimale ondernemingsrisico's heeft, geen immateriële vaste activa bezit of beheert en slechts functies uitoefent ter ondersteuning van de activiteiten van haar opdrachtgevers, werd de Belgische NV als de geschikte Tested Party geselecteerd.
13. Als meest geschikte transfer pricing methode werd het gebruik van de Transactional Net Margin Method ("TNMM") weerhouden waarbij een mark-up op de bedrijfskosten wordt gebruikt.
14. Er werd een pan-Europese vergelijkbaarheidstudie ondernomen om een arm's length niveau van mark-up op de operationele kosten te bepalen voor de activiteiten die door de Belgische NV worden uitgeoefend.
15. De financiële resultaten van de vergelijkbaarheidstudie resulteerde in een "arm's length"-interval van 3,60% tot 12,68% met een mediaan van 7,69% bij toepassing van het eenvoudig gemiddelde en een "arm's length"-interval van 3,59% tot 12,52% met een mediaan van 7,64% bij toepassing van het gewogen gemiddelde.
16. Een mark-up rond het eerste kwartiel van de waarnemingen is at arm's length omwille van het feit dat risicoprofiel van de Belgische NV algemeen gezien lager is dan dat van de weerhouden vergelijkbare vennootschappen : haar activiteitenprofiel is uitsluitend gericht op het ondersteunen van de groepsondernemingen en neemt daarbij minimale ondernemingsrisico's.
17. Gebaseerd op de kwartielen voortvloeiend uit de financiële resultaten van de vergelijkbaarheidstudie is een mark-up van 4 percent een at arm's length winstopslag voor de diensten verleend door de Belgische NV aan de groepsvennootschappen.
18. De winstopslag zal worden toegepast op de relevante bedrijfskosten met betrekking tot de activiteiten van de Belgische NV, met uitsluiting van de voorschotkosten. Met voorschotkosten wordt bedoeld de kosten welke betrekking hebben op diensten die rechtstreeks ten goed komen aan de groepsvennootschappen waaraan de Belgische NV geen toegevoegde waarde bijbrengt, en die niet de eigen activiteiten van de Belgische NV ondersteunen.
19. De financiële kosten, die beperkt blijven, zullen zonder winstopslag worden doorgerekend. Bovendien zal, voor wat betreft de wisselkoersverschillen, die beperkt zijn, enkel het saldo van de positieve en negatieve wisselkoersverschillen, in rekening worden gebracht voor het bepalen van het door te berekenen bedrag aan financiële kosten.
Beslissing
20. De Belgische NV levert puur ondersteunende diensten aan groepsondernemingen en neemt daarbij minimale ondernemingsrisico's en bezit of beheert geen immateriële vaste activa.
21. De activiteiten van de Belgische NV zijn dezelfde als deze die het voorwerp uitmaakten van de aanvraag m.b.t. het bijzonder aanslagstelsel voor dienstencentra.
22. De verrekenprijsstudie met betrekking tot de administratieve en boekhoudkundige ondersteunende diensten, die als bijlage gevoegd werd bij de aanvraag, toont aan dat de Transactional Net Margin Method ("TNMM") waarbij een mark-up op de bedrijfskosten wordt gebruikt, in huidig geval de meest aangewezen methode is.
23. De vergelijkbaarheidstudie geeft een set weer van 19 vergelijkbare vennootschappen.
24. Het risicoprofiel van de Belgische NV is algemeen gezien lager dan dat van de weerhouden onafhankelijke vergelijkbare vennootschappen omdat de NV minimale ondernemingsrisico's neemt en haar activiteitenprofiel uitsluitend gericht is op het ondersteunen van groepsondernemingen.
25. Een mark-up van 5 percent is een at arm's length winstopslag voor de diensten verleend door de Belgische NV aan de groepsvennootschappen, in acht genomen de gevoerde discussie over de positionering van de NV binnen de groep van de weerhouden comparables.
26. De financiële kosten, inclusief de wisselkoersverschillen, van de Belgische NV zullen beperkt blijven.
Gelet op wat voorafgaat beslist het College van de DVB in zitting van 17 november 2005 dat:
27. de Belgische NV geen abnormaal of goedgunstig voordeel zal verstrekken in de zin van de artikelen 26 en 185, §2 WIB 92, noch zal verkrijgen in de zin van de artikel 79 en 207 WIB 92, wanneer het omzetcijfer (rekening 70 van het M.A.R.) van de Belgische NV gelijk is aan de som van het totaal van de bedrijfskosten verhoogd met een winstopslag van 5% en de financiële kosten.
28. De kostprijs van de diensten die rechtstreeks ten goede komen aan de groepsvennootschappen en waaraan de Belgische NV geen toegevoegde waarde bijbrengt en die niet de eigen activiteiten van de Belgische NV ondersteunen (zgn. voorschotkosten), mogen evenwel zonder winstopslag aan de groepsvennootschappen worden doorgerekend, indien ze door de dienstverlener aan de Belgische NV met een normale winstmarge worden gefactureerd.
29. Daarenboven kan worden ingestemd met de doorrekening zonder winstopslag van de financiële kosten opgelopen door de Belgische NV, voor zover de huidige financiële structuur behouden blijft. Het bedrag van de negatieve wisselkoersverschillen die geboekt worden onder de financiële kosten mag aangepast worden met het bedrag van de wisselkoersverschillen geboekt onder de financiële opbrengsten, weliswaar beperkt tot het bedrag dat geboekt is als wisselkoersverschil in de kosten.
30. Tenslotte kan worden bevestigd dat deze beslissing ook van toepassing is voor de diensten die de Belgische NV in de toekomst gaat leveren voor andere groepsvennootschappen dan deze vermeld in de aanvraag voor zover deze diensten (uitgeoefende functies en gedragen risico's) identiek zijn aan deze beschreven in de aanvraag.
31. Onderhavige voorafgaande beslissing geldt voor een periode van vijf opeenvolgende boekjaren. Deze beslissing kan desgewenst worden verlengd of gewijzigd voor zover daartoe tijdig - bij voorkeur 3 maand voor het verstrijken van bovenbedoelde periode - een nieuwe aanvraag bij de DVB wordt ingediend.
32. Deze beslissing is slechts geldig voor zover de activiteiten van de Belgische NV noch de omstandigheden waarin zij worden uitgeoefend niet betekenisvol wijzigen gedurende de periode tijdens dewelke deze beslissing van toepassing 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1FC4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2024-06-01T03:56:28+02:00</dcterms:created>
  <dcterms:modified xsi:type="dcterms:W3CDTF">2024-06-01T03:56:28+02:00</dcterms:modified>
</cp:coreProperties>
</file>

<file path=docProps/custom.xml><?xml version="1.0" encoding="utf-8"?>
<Properties xmlns="http://schemas.openxmlformats.org/officeDocument/2006/custom-properties" xmlns:vt="http://schemas.openxmlformats.org/officeDocument/2006/docPropsVTypes"/>
</file>