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Décision anticipée n° 500.074 dd. 17.11.2005</w:t>
      </w:r>
      <w:bookmarkEnd w:id="1"/>
    </w:p>
    <w:p/>
    <w:p/>
    <w:p>
      <w:pPr>
        <w:numPr>
          <w:ilvl w:val="0"/>
          <w:numId w:val="2"/>
        </w:numPr>
      </w:pPr>
      <w:r>
        <w:rPr/>
        <w:t xml:space="preserve">Date : 17-11-2005</w:t>
      </w:r>
    </w:p>
    <w:p>
      <w:pPr>
        <w:numPr>
          <w:ilvl w:val="0"/>
          <w:numId w:val="2"/>
        </w:numPr>
      </w:pPr>
      <w:r>
        <w:rPr/>
        <w:t xml:space="preserve">Langue : Français</w:t>
      </w:r>
    </w:p>
    <w:p>
      <w:pPr>
        <w:numPr>
          <w:ilvl w:val="0"/>
          <w:numId w:val="2"/>
        </w:numPr>
      </w:pPr>
      <w:r>
        <w:rPr/>
        <w:t xml:space="preserve">Section : Régulation</w:t>
      </w:r>
    </w:p>
    <w:p>
      <w:pPr>
        <w:numPr>
          <w:ilvl w:val="0"/>
          <w:numId w:val="2"/>
        </w:numPr>
      </w:pPr>
      <w:r>
        <w:rPr/>
        <w:t xml:space="preserve">Type : Prior agreements L 24.12.2002</w:t>
      </w:r>
    </w:p>
    <w:p>
      <w:pPr>
        <w:numPr>
          <w:ilvl w:val="0"/>
          <w:numId w:val="2"/>
        </w:numPr>
      </w:pPr>
      <w:r>
        <w:rPr/>
        <w:t xml:space="preserve">Sous-domaine : FISCAL DISCIPLINE</w:t>
      </w:r>
    </w:p>
    <w:p/>
    <w:p/>
    <w:p>
      <w:pPr/>
      <w:r>
        <w:rPr/>
        <w:t xml:space="preserve"> 
 Contact | Disclaimer |  FAQ  
         Quick search :   
  Fisconet
     plus  Version 5.9.23   
  Service Public Federal 
Finances  
       Home  
      Executed 
 searches 
      Advanced 
 search 
      News 
      Home &gt; 
      Advanced search &gt; 
      Search results &gt; Décision anticipée n° 500.074 dd. 17.11.2005 
       Décision anticipée n° 500.074 dd. 17.11.2005 
      Document 
          Content exists in : fr  nl  
 Search in text:  
          Print    E-mail    Show properties  
       Properties
       Document type : Prior agreements L 24.12.2002
       Title : Décision anticipée n° 500.074 dd. 17.11.2005
       Tax year : 0
       Document date : 17/11/2005
       Keywords : Avantage anormal ou bénévole
       Document language : FR
       Name : 500.074
500.074
Décision anticipée n° 500.074 dd. 17.11.2005
   Avantage anormal ou bénévole
    Détermination des prix de transfert
Résumé
La demande tend à savoir si les indemnités qu'une SA belge recevra d'entreprises liées pour les services qu'elle a fournis, sont conformes au principe de pleine concurrence " at arm's length " contenu à l'art. 185, § 2 du Code des impôts sur les revenus 1992 (CIR 92) et si ces indemnités ne génèrent pas un avantage anormal ou bénévole visé aux articles 26, 79 et 207 CIR92.
La décision est publiée uniquement dans la langue dans laquelle la demande a été introduite.
Voorwerp van aanvraag
I. Gestelde vragen
De aanvraag strekt ertoe te vernemen of:
1. de vergoedingen die een Belgische NV zal ontvangen van verbonden ondernemingen voor de door haar geleverde diensten in overeenstemming zijn met het arm's length principe zoals vervat in artikel 185, § 2 van het Wetboek van de inkomstenbelastingen 1992 (WIB 92) en dat deze vergoedingen geen aanleiding geven tot het bestaan van enig abnormaal of goedgunstig voordeel zoals bepaald in de artikelen 26, 79 en 207 WIB 92.
II. Omschrijving van de verrichtingen
II.A. Overzicht van de activiteiten van de groep waartoe de Belgische NV behoort
2. De Belgische NV maakt deel uit van een groep die haar hoofdkwartier in Groot-Brittannië heeft.
3. De groep is werkzaam op het gebied van elektronische automatiserings-, besturings, en aandrijvingsystemen.
4. De groep is na recente herstructureringen vandaag georganiseerd in zes business units.
II B. Beschrijving van de diensten die zullen worden geleverd door de Belgische vennootschap
5. De aard van de activiteiten die thans door de Belgische NV worden uitgeoefend - en die in de toekomst onveranderd zullen uitgeoefend worden - zijn beperkt tot activiteiten van boekhoudkundige en administratieve ondersteunende aard.
6. De activiteiten kunnen worden onderverdeeld in drie categorieën :
        boekhoudkundige ondersteuning met betrekking tot het aankoopproces;
        ondersteuning bij facturatie;
        ondersteuning met betrekking tot het beheer van het grootboek. 
7. De NV zal deze ondersteunende diensten verlenen aan groepsondernemingen die hoofdzakelijk behoren tot twee van de zes business units.
8. De NV heeft momenteel een 40-tal werknemers. 9. De NV heeft een middelenverbintenis om haar activiteiten zo goed en zorgvuldig mogelijk uit te voeren, waardoor de ondernemingsrisico's en andere risico's quasi onbestaande zijn.
10. De NV werd de toelating verleend om de bepalingen toe te passen van de circulaire Ci.RH.421/483.766 van 26 juli 1996 met betrekking tot het bijzonder aanslagstelsel voor dienstencentra die zich in België vestigen.
III. Motivering van de aanvraag
11. Een analyse werd uitgevoerd om een arm's length vergoeding te bepalen. Deze werd uitgevoerd binnen het kader van de algemeen aanvaarde OESO richtlijnen met betrekking tot verrekenprijzen en de Belgische regelgeving met betrekking tot verrekenprijzen.
12. Aangezien de Belgische NV slechts minimale ondernemingsrisico's heeft, geen immateriële vaste activa bezit of beheert en slechts functies uitoefent ter ondersteuning van de activiteiten van haar opdrachtgevers, werd de Belgische NV als de geschikte Tested Party geselecteerd.
13. Als meest geschikte transfer pricing methode werd het gebruik van de Transactional Net Margin Method ("TNMM") weerhouden waarbij een mark-up op de bedrijfskosten wordt gebruikt.
14. Er werd een pan-Europese vergelijkbaarheidstudie ondernomen om een arm's length niveau van mark-up op de operationele kosten te bepalen voor de activiteiten die door de Belgische NV worden uitgeoefend.
15. De financiële resultaten van de vergelijkbaarheidstudie resulteerde in een "arm's length"-interval van 3,60% tot 12,68% met een mediaan van 7,69% bij toepassing van het eenvoudig gemiddelde en een "arm's length"-interval van 3,59% tot 12,52% met een mediaan van 7,64% bij toepassing van het gewogen gemiddelde.
16. Een mark-up rond het eerste kwartiel van de waarnemingen is at arm's length omwille van het feit dat risicoprofiel van de Belgische NV algemeen gezien lager is dan dat van de weerhouden vergelijkbare vennootschappen : haar activiteitenprofiel is uitsluitend gericht op het ondersteunen van de groepsondernemingen en neemt daarbij minimale ondernemingsrisico's.
17. Gebaseerd op de kwartielen voortvloeiend uit de financiële resultaten van de vergelijkbaarheidstudie is een mark-up van 4 percent een at arm's length winstopslag voor de diensten verleend door de Belgische NV aan de groepsvennootschappen.
18. De winstopslag zal worden toegepast op de relevante bedrijfskosten met betrekking tot de activiteiten van de Belgische NV, met uitsluiting van de voorschotkosten. Met voorschotkosten wordt bedoeld de kosten welke betrekking hebben op diensten die rechtstreeks ten goed komen aan de groepsvennootschappen waaraan de Belgische NV geen toegevoegde waarde bijbrengt, en die niet de eigen activiteiten van de Belgische NV ondersteunen.
19. De financiële kosten, die beperkt blijven, zullen zonder winstopslag worden doorgerekend. Bovendien zal, voor wat betreft de wisselkoersverschillen, die beperkt zijn, enkel het saldo van de positieve en negatieve wisselkoersverschillen, in rekening worden gebracht voor het bepalen van het door te berekenen bedrag aan financiële kosten.
Beslissing
20. De Belgische NV levert puur ondersteunende diensten aan groepsondernemingen en neemt daarbij minimale ondernemingsrisico's en bezit of beheert geen immateriële vaste activa.
21. De activiteiten van de Belgische NV zijn dezelfde als deze die het voorwerp uitmaakten van de aanvraag m.b.t. het bijzonder aanslagstelsel voor dienstencentra.
22. De verrekenprijsstudie met betrekking tot de administratieve en boekhoudkundige ondersteunende diensten, die als bijlage gevoegd werd bij de aanvraag, toont aan dat de Transactional Net Margin Method ("TNMM") waarbij een mark-up op de bedrijfskosten wordt gebruikt, in huidig geval de meest aangewezen methode is.
23. De vergelijkbaarheidstudie geeft een set weer van 19 vergelijkbare vennootschappen.
24. Het risicoprofiel van de Belgische NV is algemeen gezien lager dan dat van de weerhouden onafhankelijke vergelijkbare vennootschappen omdat de NV minimale ondernemingsrisico's neemt en haar activiteitenprofiel uitsluitend gericht is op het ondersteunen van groepsondernemingen.
25. Een mark-up van 5 percent is een at arm's length winstopslag voor de diensten verleend door de Belgische NV aan de groepsvennootschappen, in acht genomen de gevoerde discussie over de positionering van de NV binnen de groep van de weerhouden comparables.
26. De financiële kosten, inclusief de wisselkoersverschillen, van de Belgische NV zullen beperkt blijven.
Gelet op wat voorafgaat beslist het College van de DVB in zitting van 17 november 2005 dat:
27. de Belgische NV geen abnormaal of goedgunstig voordeel zal verstrekken in de zin van de artikelen 26 en 185, §2 WIB 92, noch zal verkrijgen in de zin van de artikel 79 en 207 WIB 92, wanneer het omzetcijfer (rekening 70 van het M.A.R.) van de Belgische NV gelijk is aan de som van het totaal van de bedrijfskosten verhoogd met een winstopslag van 5% en de financiële kosten.
28. De kostprijs van de diensten die rechtstreeks ten goede komen aan de groepsvennootschappen en waaraan de Belgische NV geen toegevoegde waarde bijbrengt en die niet de eigen activiteiten van de Belgische NV ondersteunen (zgn. voorschotkosten), mogen evenwel zonder winstopslag aan de groepsvennootschappen worden doorgerekend, indien ze door de dienstverlener aan de Belgische NV met een normale winstmarge worden gefactureerd.
29. Daarenboven kan worden ingestemd met de doorrekening zonder winstopslag van de financiële kosten opgelopen door de Belgische NV, voor zover de huidige financiële structuur behouden blijft. Het bedrag van de negatieve wisselkoersverschillen die geboekt worden onder de financiële kosten mag aangepast worden met het bedrag van de wisselkoersverschillen geboekt onder de financiële opbrengsten, weliswaar beperkt tot het bedrag dat geboekt is als wisselkoersverschil in de kosten.
30. Tenslotte kan worden bevestigd dat deze beslissing ook van toepassing is voor de diensten die de Belgische NV in de toekomst gaat leveren voor andere groepsvennootschappen dan deze vermeld in de aanvraag voor zover deze diensten (uitgeoefende functies en gedragen risico's) identiek zijn aan deze beschreven in de aanvraag.
31. Onderhavige voorafgaande beslissing geldt voor een periode van vijf opeenvolgende boekjaren. Deze beslissing kan desgewenst worden verlengd of gewijzigd voor zover daartoe tijdig - bij voorkeur 3 maand voor het verstrijken van bovenbedoelde periode - een nieuwe aanvraag bij de DVB wordt ingediend.
32. Deze beslissing is slechts geldig voor zover de activiteiten van de Belgische NV noch de omstandigheden waarin zij worden uitgeoefend niet betekenisvol wijzigen gedurende de periode tijdens dewelke deze beslissing van toepassing is.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01-11-2024</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C8FA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2024-11-01T00:42:43+01:00</dcterms:created>
  <dcterms:modified xsi:type="dcterms:W3CDTF">2024-11-01T00:42:43+01:00</dcterms:modified>
</cp:coreProperties>
</file>

<file path=docProps/custom.xml><?xml version="1.0" encoding="utf-8"?>
<Properties xmlns="http://schemas.openxmlformats.org/officeDocument/2006/custom-properties" xmlns:vt="http://schemas.openxmlformats.org/officeDocument/2006/docPropsVTypes"/>
</file>