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Artikel 162octies Wetboek Successie - Vlaams Gewest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21-12-2013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Régulation</w:t>
      </w:r>
    </w:p>
    <w:p>
      <w:pPr>
        <w:numPr>
          <w:ilvl w:val="0"/>
          <w:numId w:val="2"/>
        </w:numPr>
      </w:pPr>
      <w:r>
        <w:rPr/>
        <w:t xml:space="preserve">Type : Codes and legislation</w:t>
      </w:r>
    </w:p>
    <w:p>
      <w:pPr>
        <w:numPr>
          <w:ilvl w:val="0"/>
          <w:numId w:val="2"/>
        </w:numPr>
      </w:pPr>
      <w:r>
        <w:rPr/>
        <w:t xml:space="preserve">Sous-domaine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Artikel 162octies Wetboek Successie - Vlaams Gewest 
       Artikel 162octies Wetboek Successie - Vlaams Gewest 
      Document 
          Content exists in : nl  fr  
 Search in text:  
          Print    E-mail    Show properties  
       Properties
       Effective date : 01/01/2011
       Document type : Codes and legislation
       Title : Artikel 162octies Wetboek Successie - Vlaams Gewest
       Document date : 21/12/2013
       Keywords : coördinatiecentrum / teruggave / erkenning / statuut
       Document language : NL
       Name : Art. 162octies, W.Succ. VG
       Version : 1
          Previous document   Next document   Show list of documents  
 Artikel 162octies (van toepassing vanaf 01.01.2011) 
 (opgeheven door art. 95 van de wet van 21 dec. 2013 (B.S., 31.12.2013 – ed. 2). Tekst van toepassing vanaf 1 jan. 2011 (art. 95)) 
(…)(*) 
 ----------- 
 Nota: 
 (*) De bepalingen van boek III blijven echter van toepassing voor de taksen geheven tot 31 dec. 2010 (art. 95). 
--------------------
 historische versie(s)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FA816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2024-06-01T02:16:11+02:00</dcterms:created>
  <dcterms:modified xsi:type="dcterms:W3CDTF">2024-06-01T02:16:11+02:00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