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25 novembre 1994 (Belgique). RG D930019N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25-11-1994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F-19941125-9</w:t>
      </w:r>
    </w:p>
    <w:p>
      <w:pPr>
        <w:numPr>
          <w:ilvl w:val="0"/>
          <w:numId w:val="2"/>
        </w:numPr>
      </w:pPr>
      <w:r>
        <w:rPr/>
        <w:t xml:space="preserve">Numéro de rôle : D930019N</w:t>
      </w:r>
    </w:p>
    <w:p/>
    <w:p/>
    <w:p>
      <w:pPr/>
      <w:r>
        <w:rPr/>
        <w:t xml:space="preserve">LA COUR,
 Vu la décision attaquée, rendue le 26 mai 1993 par le conseil d'appel d'expression néerlandaise de l'Ordre des architectes;
 Sur le second moyen :
 Quant à la seconde branche :
 Attendu qu'en règle, le bureau peut convoquer un architecte sans lui communiquer préalablement les motifs de la convocation;
 Que le seul fait que le bureau, chargé de l'instruction préalable, envoie une convocation sans en énoncer les motifs n'est pas contraire à la disposition de la convention et au principe général du droit cités par le moyen en cette branche;
 Que le moyen, en cette branche, ne peut être accueilli;
 PAR CES MOTIFS,
 Rejette le pourvoi;
 Condamne le demandeur aux dépens.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62E7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2025-05-12T09:24:16+02:00</dcterms:created>
  <dcterms:modified xsi:type="dcterms:W3CDTF">2025-05-12T09:24:16+02:00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