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December 1995 (België). RG P951213N</w:t>
      </w:r>
      <w:bookmarkEnd w:id="1"/>
    </w:p>
    <w:p/>
    <w:p/>
    <w:p>
      <w:pPr>
        <w:numPr>
          <w:ilvl w:val="0"/>
          <w:numId w:val="2"/>
        </w:numPr>
      </w:pPr>
      <w:r>
        <w:rPr/>
        <w:t xml:space="preserve">Date : 05-12-1995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N-19951205-4</w:t>
      </w:r>
    </w:p>
    <w:p>
      <w:pPr>
        <w:numPr>
          <w:ilvl w:val="0"/>
          <w:numId w:val="2"/>
        </w:numPr>
      </w:pPr>
      <w:r>
        <w:rPr/>
        <w:t xml:space="preserve">Numéro de rôle : P951213N</w:t>
      </w:r>
    </w:p>
    <w:p/>
    <w:p/>
    <w:p>
      <w:pPr/>
      <w:r>
        <w:rPr/>
        <w:t xml:space="preserve">HET HOF,
 Gelet op het bestreden arrest, op 21 september 1995 door het Hof van Beroep te Gent gewezen;
 Overwegende dat het arrest zich ertoe beperkt de door de eisers voorgedragen wraking van de kamervoorzitter en de raadsheren die de kamer van inbeschuldigingstelling samenstellen, meer bepaald de heren C. Hoorens, J. Logghe en R. Pieters, te verwerpen;
 Overwegende dat deze beslissing geen uitspraak doet over een geschil inzake bevoegdheid, geen einde maakt aan de vervolgingen en derhalve geen eindbeslissing is in de zin van artikel 416 van het Wetboek van Strafvordering;
 Dat de voorziening vóór de eindbeslissing ingesteld, mitsdien niet ontvankelijk is;
 OM DIE REDENEN,
 zonder acht te slaan op het door de eisers neergelegde verzoekschrift, dat geen betrekking heeft op de ontvankelijkheid van de voorziening,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6A6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2024-04-20T03:58:29+02:00</dcterms:created>
  <dcterms:modified xsi:type="dcterms:W3CDTF">2024-04-20T03:58:29+02:00</dcterms:modified>
</cp:coreProperties>
</file>

<file path=docProps/custom.xml><?xml version="1.0" encoding="utf-8"?>
<Properties xmlns="http://schemas.openxmlformats.org/officeDocument/2006/custom-properties" xmlns:vt="http://schemas.openxmlformats.org/officeDocument/2006/docPropsVTypes"/>
</file>