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September 1996 (België). RG P961096F</w:t>
      </w:r>
      <w:bookmarkEnd w:id="1"/>
    </w:p>
    <w:p/>
    <w:p/>
    <w:p>
      <w:pPr>
        <w:numPr>
          <w:ilvl w:val="0"/>
          <w:numId w:val="2"/>
        </w:numPr>
      </w:pPr>
      <w:r>
        <w:rPr/>
        <w:t xml:space="preserve">Date : 11-09-1996</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N-19960911-9</w:t>
      </w:r>
    </w:p>
    <w:p>
      <w:pPr>
        <w:numPr>
          <w:ilvl w:val="0"/>
          <w:numId w:val="2"/>
        </w:numPr>
      </w:pPr>
      <w:r>
        <w:rPr/>
        <w:t xml:space="preserve">Numéro de rôle : P961096F</w:t>
      </w:r>
    </w:p>
    <w:p/>
    <w:p/>
    <w:p>
      <w:pPr/>
      <w:r>
        <w:rPr/>
        <w:t xml:space="preserve">HET HOF,
 Gelet op het bestreden arrest, op 13 juni 1996 door het Hof van Assisen van de provincie Luik gewezen;
 Overwegende dat het onderzoek en de debatten voor het hof van assisen, wanneer zij eenmaal begonnen zijn, zonder onderbreking moeten worden voortgezet tot en met de verklaring van de jury, zodat het in het middel bekritiseerde proces-verbaal zich ertoe beperkt vast te stellen dat de samenstelling van het rechtscollege waarvan het de oorspronkelijke samenstelling heeft vastgesteld, niet is gewijzigd na afloop van de door artikel 353 van het Wetboek van Strafvordering toegestane schorsingen;
 Dat het middel niet kan worden aangenomen;
 En overwegende dat de substantiële of op straffe van nietigheid voorgeschreven rechtsvormen in acht zijn genomen en de beslissing overeenkomstig de wet is gewezen;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AD48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2024-03-29T01:17:42+01:00</dcterms:created>
  <dcterms:modified xsi:type="dcterms:W3CDTF">2024-03-29T01:17:42+01:00</dcterms:modified>
</cp:coreProperties>
</file>

<file path=docProps/custom.xml><?xml version="1.0" encoding="utf-8"?>
<Properties xmlns="http://schemas.openxmlformats.org/officeDocument/2006/custom-properties" xmlns:vt="http://schemas.openxmlformats.org/officeDocument/2006/docPropsVTypes"/>
</file>