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27 juillet 1999 (Belgique). RG 563/287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27-07-1999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F-19990727-4</w:t>
      </w:r>
    </w:p>
    <w:p>
      <w:pPr>
        <w:numPr>
          <w:ilvl w:val="0"/>
          <w:numId w:val="2"/>
        </w:numPr>
      </w:pPr>
      <w:r>
        <w:rPr/>
        <w:t xml:space="preserve">Numéro de rôle : 563/287</w:t>
      </w:r>
    </w:p>
    <w:p/>
    <w:p/>
    <w:p>
      <w:pPr/>
      <w:r>
        <w:rPr/>
        <w:t xml:space="preserve">(...)
 EXPOSE DES FAITS ET SUITES JUDICIAIRES
 Le 6/1/1992, le requérant se trouvait à bord du bus assurant la liaison M...-M... lorsqu'il fut pris à partie par le nommé ...Z... qui sans aucune raison tira presqu'à bout portant 2 balles au moyen d'un riot gun atteignant le requérant à l'abdomen.
 Par jugement du 21/12/1992 passé en force de chose jugée, le tribunal de première instance de ... condamne le nommé ...Z... à une peine de 8 ans d'emprisonnement et à payer à la mère du requérant qui s'était constituée partie civile au nom de son fils mineur, 300.000 F à titre provisionnel.
 SEQUELLES MEDICALES
 Dans son rapport du 14\6\1995, l'expert de l'OML conclut:
 - que le requérant a été blessé par balles en date du 6/1/1992;
 - qu'un rapport d'expertise judiciaire fut déposé dans cette affaire par le Docteur ...D... ;
 - qu'on retiendra les importantes souffrances endurées et les cicatrices résiduelles fort disgracieuses;
 - que suite à l'agression en cause, le requérant a encouru ce qui suit :
 une ITT de 100% du 06.01.92. au 31.08.92.
 ITP de 40% du 01.09.92. au 16.02.93.
 - que la consolidation est acquise le 17/2/93 avec une incapacité permanente de 20%;
 - à un quantum doloris important pendant 3 mois, modéré pendant 2 mois, léger pendant 4 mois;
 - à un préjudice esthétique de 5/7 (multiples cicatrices thoraciques et abdominales);
 - à un préjudice d'agrément (arrêt du Taekwon-do).
 RECEVABILITE DE LA DEMANDE
 Il résulte des éléments du dossier que les conditions de recevabilité sont remplies.
 FONDEMENT DE LA DEMANDE
 Tenant compte d'une part:
 - de l'invalidité permanente de 20% que conserve le requérant suite aux faits;
 - de la durée et du taux des incapacités temporaires;
 - des frais médicaux qui ont été à charge du requérant et qui sont dûment justifiés;
 - du préjudice esthétique tel que fixé par l'expert de l'OML;
 - des frais matériels supportés par le requérant et qui sont admis par l'article 32 ' 1er de la loi du 1/8/1985 à concurrence d'un maximum de 50.000 F;
 et d'autre part;
 - de ce qu'il n'est pas établi à suffisance que le requérant ait perdu une année scolaire suite aux faits;
 - de ce que ni les intérêts, ni le préjudice d'agrément ne sont cités dans l'énumération limitative de l'article 32 de la loi du 1/8/1985 et qu'ils ne sont donc pas à prendre en considération par la Commission;
 la Commission estime devoir accorder au requérant une aide, fixée ex aequo et bono, à 900.000 F.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contradictoirement et en audience publique,
 - reçoit la demande et la dit partiellement;
 - alloue au requérant une aide de 900.000 F.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D6E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2024-04-24T05:35:30+02:00</dcterms:created>
  <dcterms:modified xsi:type="dcterms:W3CDTF">2024-04-24T05:35:30+02:00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