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27 septembre 2000 (Belgique). RG 98503/1068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F-20000927-5</w:t>
      </w:r>
    </w:p>
    <w:p>
      <w:pPr>
        <w:numPr>
          <w:ilvl w:val="0"/>
          <w:numId w:val="2"/>
        </w:numPr>
      </w:pPr>
      <w:r>
        <w:rPr/>
        <w:t xml:space="preserve">Numéro de rôle : 98503/1068</w:t>
      </w:r>
    </w:p>
    <w:p/>
    <w:p/>
    <w:p>
      <w:pPr/>
      <w:r>
        <w:rPr/>
        <w:t xml:space="preserve">(...)
 Exposé des faits et suites judiciaires
 Dans le courant du mois de septembre 1990, le requérant avait commandé des châssis de portes et des fenêtres aux frères D.. Seuls 8 châssis sur les 11 furent livrés et placés. Après plusieurs rappels du requérant, en vain, la société fut déclarée en faillite et le curateur contacta le requérant afin que celui-ci restitue l'outillage resté en gage à son domicile. Finalement, le 31/10/91, les nommés Luc et Emmanuel D. livrent les 3 derniers châssis au domicile du requérant. Lorsque le requérant invite les D. à signer un reçu attestant qu'il leur a bien remis les outils, ceux-ci ont repris les 3 châssis et se sont jetés sur le requérant qu'ils ont frappés.
 Par jugement du 23/09/93, le Tribunal correctionnel de ... condamne par défaut les nommés Luc et Emmanuel D. respectivement à une peine d'emprisonnement de 4 mois et de 6 mois et à payer solidairement au requérant qui s'était constitué partie civile, la somme provisionnelle de 30.000 francs.
 Par jugement du 03/02/94 rendu sur opposition et passé en force de chose jugée, le Tribunal correctionnel de ... condamne les nommés Luc et Emmanuel D. respectivement à une peine d'emprisonnement de 15 jours et de 3 mois et à payer au requérant, qui s'était constitué partie civile, la somme de 1 franc à charge de Luc D. et la somme provisionnelle de 30.000 francs à charge de Emmanuel D..
 Dans son jugement du 18/12/97, la 13ème chambre du Tribunal correctionnel de ... condamne par défaut l'individu Emmanuel D. à verser au requérant les sommes de 1.500 francs à titre provisionnel pour les frais et débours, 52.640 francs à titre d'indemnité pour les incapacités temporaires, 280.000 francs à titre d'indemnité pour l'invalidité permanente de 4%, le tout sous déduction de la somme de 30.000 francs déjà allouée provisionnellement par jugement du 03/02/94 ainsi que la somme de 26.342 francs pour les frais d'expertise.
 Séquelles médicales
 Dans son rapport du 04/06/92, le docteur G., désigné par jugement du 23/09/93 du Tribunal correctionnel de ..., conclut :
 - que la situation professionnelle et personnelle du requérant n'est pas modifiée depuis la précédente vacation;
 - que le requérant conserve un syndrome douloureux et fonctionnel au niveau du membre supérieur gauche;
 - que cela peut entraîner un relatif handicap professionnel;
 - que la cicatrice au niveau de la paupière inférieure droite n'est pratiquement plus visible à l'heure actuelle et n'est nullement gênante;
 - à une ITT du 31/10/91 au 30/11/91;
 ITP 25% du 01/12/91 au 31/12/91;
 ITP 10% du 01/01/92 au 31/03/92;
 ITP 5% du 01/04/92 au 31/05/92;
 - que la consolidation est acquise le 01/06/92 avec une invalidité permanente de 4%;
 - que les 4% entraînent un handicap professionnel pour les travaux impliquant la sollicitation du membre supérieur gauche;
 - qu'il ne persiste pas de préjudice esthétique.
 Objet de la demande
 Dans sa requête, le conseil du requérant postule une aide principale de 1.000.000 F et évalue le dommage comme suit :
 * frais et débours 7005 F+37.957 F
 * dommage moral durant les IT 42.640 F
 * dommage matériel durant les IT 40.640 F
 * dommage moral définitif 140.000 F
 * dommage matériel définitif 360.000 F
 * frais d'expertise 26.342 F
 TOTAL 626.627 F
 + intérêts
 Recevabilité de la demande
 Il résulte des éléments du dossier que les conditions de recevabilité sont remplies.
 Fondement de la demande
 Tenant compte d'une part :
 - de l'invalidité permanente de 4% que conserve le requérant suite aux faits ;
 - des frais d'expertise et des frais d'huissier dûment établis qui ont été à charge du requérant ;
 - ce que suite à l'agression dont il a été victime, même si le requérant a continuer à percevoir son salaire, il n' a plus pu travailler pour l'entreprise de déménagement qui l'employait pendant ses congés et de ce fait, a perdu le complément d'environ 10.000 F par mois que lui rapportait ce travail ;
 et d'autre part :
 - de ce que les intérêts n'entrent pas dans l'énumération limitative de l'article 32 § 1er de la loi du 1/8/1985 et ne sont donc pas à prendre en considération par la Commission ;
 - que le rôle de la Commission est d'apporter une aide aux victimes et non de les indemniser en leur garantissant la réparation totale du préjudice subi ;
 la Commission estime qu'il y a lieu d'accorder au requérant une aide principale de 170.000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 fondée ;
 - alloue au requérant une aide principale de 170.000 F.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D6F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2024-03-29T07:33:31+01:00</dcterms:created>
  <dcterms:modified xsi:type="dcterms:W3CDTF">2024-03-29T07:33:31+01:00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