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Commission pour l'aide financière aux victimes d'actes intentionnels de violence et aux sauveteurs occasionnels: Décision du 7 février 2002 (Belgique). RG 97154/1735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07-02-2002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F-20020207-9</w:t>
      </w:r>
    </w:p>
    <w:p>
      <w:pPr>
        <w:numPr>
          <w:ilvl w:val="0"/>
          <w:numId w:val="2"/>
        </w:numPr>
      </w:pPr>
      <w:r>
        <w:rPr/>
        <w:t xml:space="preserve">Numéro de rôle : 97154/1735</w:t>
      </w:r>
    </w:p>
    <w:p/>
    <w:p/>
    <w:p>
      <w:pPr/>
      <w:r>
        <w:rPr/>
        <w:t xml:space="preserve">Vu le dossier de la procédure et notamment :
 - le courrier du 22/03/1999, par lequel le requérant se désiste de sa première requête et introduit une nouvelle demande bénéficiant des conditions d'application de la nouvelle loi ;
 - l'acte de décès émanant de l'administration communale de ... nous informant du décès du requérant en date du 28/01/2001 ;
 Quant à la procédure Il y a lieu de biffer la requête du rôle général suite au décès du requérant.
 PAR CES MOTIFS :
 Vu les articles 31 à 41 de la loi du 1er août 1985 portant des mesures fiscales et autres modifiée par les lois des 17 et 18 février 1997, les articles 28 à 32 de l'arrêté royal du 18 décembre 1986 relatif à la Commission pour l'aide aux victimes d'actes intentionnels de violence, les articles 39 à 42 des lois coordonnées du 18 juillet 1966 sur l'emploi des langues en matière administrative,
 La Commission, statuant par défaut et en audience publique,
 - ordonne la biffure de la requête du rôle général.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40187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2024-06-03T17:02:47+02:00</dcterms:created>
  <dcterms:modified xsi:type="dcterms:W3CDTF">2024-06-03T17:02:47+02:00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