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 avril 2008 (Belgique). RG M70691</w:t>
      </w:r>
      <w:bookmarkEnd w:id="1"/>
    </w:p>
    <w:p/>
    <w:p/>
    <w:p>
      <w:pPr>
        <w:numPr>
          <w:ilvl w:val="0"/>
          <w:numId w:val="2"/>
        </w:numPr>
      </w:pPr>
      <w:r>
        <w:rPr/>
        <w:t xml:space="preserve">Date : 01-04-2008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F-20080401-1</w:t>
      </w:r>
    </w:p>
    <w:p>
      <w:pPr>
        <w:numPr>
          <w:ilvl w:val="0"/>
          <w:numId w:val="2"/>
        </w:numPr>
      </w:pPr>
      <w:r>
        <w:rPr/>
        <w:t xml:space="preserve">Numéro de rôle : M70691</w:t>
      </w:r>
    </w:p>
    <w:p/>
    <w:p/>
    <w:p>
      <w:pPr/>
      <w:r>
        <w:rPr/>
        <w:t xml:space="preserve">
Exposé des faits 
Dans la nuit du 3 au 4 janvier 2003, à ..., Hamid Z. va commettre un homicide sur la personne de Rachid X.. La victime sera égorgée à l'aide d'un tesson de bouteille. 
Les faits se déroulent dans l'une des salles de la tour L... . L'auteur des faits, SDF, va s'en prendre à deux autres SDF dont Rachid X.. Il porte plusieurs coups (à l'aide du tesson de bouteille) à la victime en région cervicale. L'agresseur s'en prend à d'autres SDF présents. Le caractère aberrant de l'acte a été analysé par un psychiatre qui parle d'une psychose chronique avec bouffée aiguë meurtrière.
Suites judiciaires
La chambre du Conseil de ... a rendu une ordonnance d'internement pour Hamid Z. le 19 septembre 2003.
La requérante n'a pas eu l'occasion de se constituer partie civile mais a introduit une procédure civile devant le Tribunal de 1ère instance de ....
Par jugement du 2 mai 2007, le Tribunal de Première Instance de ... a condamné l'auteur des faits à verser (avec intérêts) :
- 7.500 euros pour le dommage moral + 2.500 euros pour le dommage ex haerede à Houria Y. ;
- 2.500 euros pour le dommage moral à Nedjia (ou Nadjia) X. ;
- 2.500 euros pour le dommage moral à Djela X. ;
- 2.500 euros pour le dommage moral à Karima X. ;
- 2.500 euros pour le dommage moral + 3.250 euros pour les frais funéraires + 597 euros pour frais de transport à Azize E. ;
- 2.500 euros pour le dommage moral à Michel X..
- Vu le dossier de la procédure, 
- Vu le mémoire en réponse du Délégué du Ministre déposé en date du 12 septembre 2007,
- Vu le rapport établi le 24 août 2007,
- Vu les notifications aux parties des divers actes ;
Vu la feuille d'audience du 12 mars 2008,
Entendus à cette audience :
Monsieur CHARLIER, président en son rapport,
La requérante et son conseil, en leurs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du prescrit de l'article 31 2° de la loi du 1er août 1985 ;
- de que la requérante a subi un préjudice moral suite au décès de son frère;
- de ce que l'auteur des faits est insolvable;
- de ce que la Commission octroie une aide en équité ;
d'autre part 
- de ce que la requérante ne cohabitait pas avec la victime au moment des faits mais entretenait avec lui des contacts réguliers.
la Commission statuant ex aequo et bono, estime devoir accorder à la requérante une aide principale de 1.500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partiellement fondée ;
- alloue à la requérante une aide principale de 1.500 euros.
Ainsi fait, en langue française, le 1er avril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6A4B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2024-03-28T19:46:26+01:00</dcterms:created>
  <dcterms:modified xsi:type="dcterms:W3CDTF">2024-03-28T19:46:26+01:00</dcterms:modified>
</cp:coreProperties>
</file>

<file path=docProps/custom.xml><?xml version="1.0" encoding="utf-8"?>
<Properties xmlns="http://schemas.openxmlformats.org/officeDocument/2006/custom-properties" xmlns:vt="http://schemas.openxmlformats.org/officeDocument/2006/docPropsVTypes"/>
</file>