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Commission pour l'aide financière aux victimes d'actes intentionnels de violence et aux sauveteurs occasionnels: Décision du 16 mars 2009 (Belgique). RG M70257/5839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16-03-2009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F-20090316-1</w:t>
      </w:r>
    </w:p>
    <w:p>
      <w:pPr>
        <w:numPr>
          <w:ilvl w:val="0"/>
          <w:numId w:val="2"/>
        </w:numPr>
      </w:pPr>
      <w:r>
        <w:rPr/>
        <w:t xml:space="preserve">Numéro de rôle : M70257/5839</w:t>
      </w:r>
    </w:p>
    <w:p/>
    <w:p/>
    <w:p>
      <w:pPr/>
      <w:r>
        <w:rPr/>
        <w:t xml:space="preserve">
Exposé des faits 
Entre le 3/1/1995 et le 31/8/2000, à ... et à ..., la requérante a été victime d'attentats à la pudeur, de viols et de coups de la part de son père, le nommé X..
Suites judiciaires
Par jugement du 13/10/2005 passé en force de chose jugée, le tribunal correctionnel de ... condamne le nommé X. à une peine de 20 ans d'emprisonnement et à payer à la requérante qui s'est constituée partie civile, la somme provisionnelle de 500 euros à titre de dommage matériel et la somme provisionnelle de 12.000 euros à titre de dommage moral.
Par arrêt du 24/3/2006, la cour d'appel de ... confirme le jugement précité. 
Séquelles médicales
Dans son rapport d'expertise du 17/7/2007, le docteur DESENDER précise :
- que suite aux faits dont elle a été victime, la requérante a développé :
• une image négative d'elle-même, elle manque de confiance en elle et ressent un sentiments d'infériorité 
• un vécu corporel négatif, avec inhibition sexuelle
• des difficultés émotionnelles
• une symptomatologie anxio-dépressive marquée par du stress, de l'angoisse, un sentiment d'insécurité, une peur de la communication
- qu'elle a fait un parcours scolaire correct et entamer un graduat en tourisme pour subvenir rapidement à ses besoins mais reste frustrée de l'absence du parcours qu'elle aurait pu réaliser vu ses capacités intellectuelles ;
- qu'il est particulièrement difficile de quantifier un tel dommage avec troubles de la personnalité sachant que « chaque enfant est dépositaire des structures en cours de maturation qui présente plusieurs axes d'organisation » ;
- que ce trouble de la personnalité a non seulement une répercussion sur sa vie sociale mais également sur sa vie professionnelle du fait d'une image négative d'elle-même, d'un manque de confiance, de difficultés relationnelles, d'un sentiment de dévalorisation qui la rendent moins compétitive au sein du monde professionnel ;
- que cet état témoigne d'une invalidité permanente partielle de 25% dont on peut reconnaître une répercussion économique de 20% qu'il suggère de prendre en considération à partir du 1/7/2000, date de la fin des humanités ;
- qu'une prise en charge des traitements de psychothérapie en moyenne une séance tous les 15 jours à trois semaines doit être prise en considération ;
- qu'un dommage moral peut s'envisager au regard des souffrances physiques et morales encourues par l'enfant, l'adolescente puis la femme adulte.
- Vu le dossier de la procédure, 
- Vu le rapport établi le 30/8/2008,
- Vu l'avis du délégué du Ministre de la Justice daté du 1/9/2008 et la réponse adressée par le conseil de la requérante en date du 29/9/2008,
- Vu les notifications aux parties des divers actes ;
Vu la feuille d'audience du 10/2/2009,
Entendus à cette audience :
Monsieur GAUDY, président en son rapport,
Maître BEDORET conseil de la requérante, en ses moyens et explications
Le délégué du Ministre de la Justice n'était pas présent .
Recevabilité de la demande
Il résulte des éléments du dossier que les conditions de recevabilité pour une demande d'aide principale sont remplies.
Fondement de la demande
Tenant compte :
- du dommage moral qu'a subi la requérante suite aux faits dont elle a éte victime ;
- de la gravité des faits et de la durée de la période infractionnelle ;
- du jeune âge de la requérante au moment des faits ;
- de ce que les faits ont été commis par un proche de la requérante, en l'espèce son père ;
- des frais de suivi psychologique qui ont été supportés par la requérante ;
la Commission estime qu'il y a lieu d'accorder à la requérante une aide principale fixée ex aequo et bono, à la somme de 50.545 euros.
PAR CES MOTIFS :
Vu les articles 30 à 41 de la loi du 1er août 1985 portant des mesures fiscales et autres modifiée par les lois des 26 mars, 22 avril 2003 et 27 décembre 2004, les articles 28 à 32 de l'arrêté royal du 18 décembre 1986 relatif à la Commission pour l'aide aux victimes d'actes intentionnels de violence, les articles 39 à 42 des lois coordonnées du 18 juillet 1966 sur l'emploi des langues en matière administrative,
La Commission, statuant contradictoirement à l'égard de la requérante et par défaut à l'égard du délégué du Ministre, en audience publique,
- déclare la demande recevable et fondée ;
- alloue à la requérante une aide principale de 50.545 euros.
Ainsi fait, en langue française, le 16 mars 2009.
Le secrétaire, a.i. Le président,
F. MAZY J.-P. GAUDY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9CF5A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2024-04-25T04:07:14+02:00</dcterms:created>
  <dcterms:modified xsi:type="dcterms:W3CDTF">2024-04-25T04:07:14+02:00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