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mai 2009 (Belgique). RG M80049/6363</w:t>
      </w:r>
      <w:bookmarkEnd w:id="1"/>
    </w:p>
    <w:p/>
    <w:p/>
    <w:p>
      <w:pPr>
        <w:numPr>
          <w:ilvl w:val="0"/>
          <w:numId w:val="2"/>
        </w:numPr>
      </w:pPr>
      <w:r>
        <w:rPr/>
        <w:t xml:space="preserve">Date : 05-05-2009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F-20090505-3</w:t>
      </w:r>
    </w:p>
    <w:p>
      <w:pPr>
        <w:numPr>
          <w:ilvl w:val="0"/>
          <w:numId w:val="2"/>
        </w:numPr>
      </w:pPr>
      <w:r>
        <w:rPr/>
        <w:t xml:space="preserve">Numéro de rôle : M80049/6363</w:t>
      </w:r>
    </w:p>
    <w:p/>
    <w:p/>
    <w:p>
      <w:pPr/>
      <w:r>
        <w:rPr/>
        <w:t xml:space="preserve">
Exposé des faits 
En date du 27/10/2006, à ..., le requérant et sa compagne ont découvert le corps sans vie de monsieur X. assis sur une chaise les pieds et les mains liés avec une veste lui recouvrant la tête. 
Il résulte du dossier répressif que Monsieur X. a été victime d'un vol commis par son amie, la nommée Z. et un complice, le nommé W. qui l'ont frappé afin de lui faire dire où il cachait de l'argent et qui n'obtenant aucune réponse, l'ont étouffé. 
Suites judiciaires
Par arrêt du 30/11/2007 passé en force de chose jugée, la cour d'assises de ... condamne la nommée Z. à la réclusion à perpétuité et le nommé W. à une peine de 20 ans de réclusion et les condamne in solidum à payer au requérant qui s'est constitué partie civile, la somme de 15.000 euros à titre de dommage moral.
- Vu le dossier de la procédure, 
- Vu le rapport établi le 13/1/2009,
- Vu l'avis du délégué du Ministre de la Justice daté du 16/1/2009, 
- Vu les notifications aux parties des divers actes ;
Vu la feuille d'audience du 31/3/2009,
Entendu à cette audience :
Monsieur GAUDY, président en son rapport,
Le délégué du Ministre de la Justice n'était pas présent.
Recevabilité de la demande
Il résulte des éléments du dossier que les conditions de recevabilité pour une demande d'aide principale sont remplies.
Fondement de la demande
Tenant compte d'une part :
- de l'article 31, 2° de la loi du 1/8/1985 qui prévoit que la Commission peut octroyer une aide financière « aux proches d'une personne ou aux personnes qui vivaient dans un rapport familial durable avec une personne dont le décès est la suite directe d'un acte intentionnel de violence »;
- de ce que suite au décès de son grand-père, le requérant a subi un dommage moral ;
et d'autre part :
- de ce que le requérant ne cohabitait pas avec la victime au moment des faits;
la Commission estime qu'il y a lieu d'accorder au requérant une aide principale fixée, ex æquo et bono, à la somme de 1.250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principale de 1.250 euros. 
Ainsi fait, en langue française, le 5 mai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C50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2024-04-19T19:00:27+02:00</dcterms:created>
  <dcterms:modified xsi:type="dcterms:W3CDTF">2024-04-19T19:00:27+02:00</dcterms:modified>
</cp:coreProperties>
</file>

<file path=docProps/custom.xml><?xml version="1.0" encoding="utf-8"?>
<Properties xmlns="http://schemas.openxmlformats.org/officeDocument/2006/custom-properties" xmlns:vt="http://schemas.openxmlformats.org/officeDocument/2006/docPropsVTypes"/>
</file>