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15 mai 2009 (Belgique). RG M71193/6325</w:t>
      </w:r>
      <w:bookmarkEnd w:id="1"/>
    </w:p>
    <w:p/>
    <w:p/>
    <w:p>
      <w:pPr>
        <w:numPr>
          <w:ilvl w:val="0"/>
          <w:numId w:val="2"/>
        </w:numPr>
      </w:pPr>
      <w:r>
        <w:rPr/>
        <w:t xml:space="preserve">Date : 15-05-2009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F-20090515-2</w:t>
      </w:r>
    </w:p>
    <w:p>
      <w:pPr>
        <w:numPr>
          <w:ilvl w:val="0"/>
          <w:numId w:val="2"/>
        </w:numPr>
      </w:pPr>
      <w:r>
        <w:rPr/>
        <w:t xml:space="preserve">Numéro de rôle : M71193/6325</w:t>
      </w:r>
    </w:p>
    <w:p/>
    <w:p/>
    <w:p>
      <w:pPr/>
      <w:r>
        <w:rPr/>
        <w:t xml:space="preserve">
Exposé des faits 
Le 20 février 2007, le requérant, lors d'une de ses missions de médecin contrôle, est victime d'un car-jacking. Après avoir ouvert son véhicule, le requérant a reçu un coup au niveau de la pommette droite. Après avoir été blessé, le requérant a perdu connaissance. 
Suites judiciaires
Le requérant a déposé plainte.
Le Parquet de ... a classé le dossier sans suite pour auteurs inconnus (réponse du Parquet quant au classement sans suite le 5 juillet 2007).
Séquelles médicales
Il ressort du rapport d'expertise du Dr DE BOOSERE du 17 avril 2007 que :
- suite à l'agression le requérant a présenté une fracture fermée avec déplacement de la partie distale du tibia gauche ;
- le requérant a été en incapacité de travail entre le 20 février et le 3 juin 2007 ;
- le requérant fait l'objet d'un suivi orthopédique ;
- la marche du requérant ne se fait qu'à l'aide de deux cannes ;
- vu les antécédents pathologiques du système locomoteur, la récupération fonctionnelle risque d'être plus longue que chez quelqu'un qui ne présente pas ces différentes pathologies ; 
Un rapport médical du 13 septembre 2007 dressé au CHU ... à ... confirme que le requérant souffre d'un état dépressif des suites de l'agression.
Une expertise médicale a été sollicitée auprès de l'Office médico-légal le 30 Janvier 2008.
L'OML a communiqué son rapport le 7 août 2008.
Dans son rapport d'expertise, le Dr ROBERT précise :
- qu'il y a de nombreux antécédents locomoteurs limitant l'autonomie du requérant ;
- que les antécédents locomoteurs sont lourds et invalidants et qu'il n'est pas établi qu'ils soient modifiés par l'agression ;
- que le lien entre l'agression et l'infarctus myocardique (de mars 2008) et l'embolie pulmonaire subie n'est pas démontré ;
- que la cure de cataracte du 20 novembre 2007 est sans relation avec les faits ;
- que la dépression majeure est liée aux lourds antécédents médicaux.
L'expert retient :
- ITT de 100% du 20 février au 31 mai 2007 ;
- ITP de 50% du 1er juin au 31 juillet 2007 ;
- ITP de 25% du 1er août au 30 novembre 2007 ;
- Consolidation le 1er décembre 2007 avec une IPP de 10%.
Lors de l'audience du 22 avril 2009, le requérant a exposé ses remarques et contestations quant au rapport rendu par l'expert de l'Office médico-légal.
- Vu le dossier de la procédure, 
- Vu le mémoire en réponse du Délégué du Ministre déposé en date du 24 octobre 2008 et le mémoire en réplique déposé par le requérant en date du 4 novembre 2008,
- Vu le rapport établi le 25 septembre 2008,
- Vu les notifications aux parties des divers actes ;
Vu la feuille d'audience du 22 avril 2009,
Entendus à cette audience :
Monsieur S. CHARLIER, président en son rapport,
Le requérant,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l'article 31 1° de la loi du 1er août 1985 stipule que la Commission peut octroyer une aide aux personnes qui ont subi un préjudice physique ou psychique important suite à un acte intentionnel de violence;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 le requérant a subi un préjudice moral suite aux faits ;
- de ce que les frais matériels exposés concernent des frais liés au véhicule du requérant et ne sont pas pris en considération par la Commission ; 
- de ce que l'expert de l'Office médico-légal a retenu une IPP de 10%;
- de ce que la perte ou diminution de revenus a été démontrée par le requérant à l'audience du 22 avril 2009;
- de ce que le requérant n'a pas bénéficié d'une assurance ;
- de ce que les auteurs de l'agression restent inconnus ;
- de ce que la Commission a octroyé (en date du 16 avril 2008) au requérant une aide urgente pour les frais médicaux ;
- de ce que l'aide financière octroyée par la commission consiste en un geste de solidarité sociale, relève d'un souci d'équité et ne correspond pas nécessairement à la réparation intégrale du préjudice subi ; 
la Commission statuant ex aequo et bono, estime devoir accorder au requérant une aide principale de 14.000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14.000 euros. 
Ainsi fait, en langue française, le 15 mai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97CA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2024-04-19T11:47:12+02:00</dcterms:created>
  <dcterms:modified xsi:type="dcterms:W3CDTF">2024-04-19T11:47:12+02:00</dcterms:modified>
</cp:coreProperties>
</file>

<file path=docProps/custom.xml><?xml version="1.0" encoding="utf-8"?>
<Properties xmlns="http://schemas.openxmlformats.org/officeDocument/2006/custom-properties" xmlns:vt="http://schemas.openxmlformats.org/officeDocument/2006/docPropsVTypes"/>
</file>