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mai 2010 (Belgique). RG 53/2010</w:t>
      </w:r>
      <w:bookmarkEnd w:id="1"/>
    </w:p>
    <w:p/>
    <w:p/>
    <w:p>
      <w:pPr>
        <w:numPr>
          <w:ilvl w:val="0"/>
          <w:numId w:val="2"/>
        </w:numPr>
      </w:pPr>
      <w:r>
        <w:rPr/>
        <w:t xml:space="preserve">Date : 06-05-2010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F-20100506-2</w:t>
      </w:r>
    </w:p>
    <w:p>
      <w:pPr>
        <w:numPr>
          <w:ilvl w:val="0"/>
          <w:numId w:val="2"/>
        </w:numPr>
      </w:pPr>
      <w:r>
        <w:rPr/>
        <w:t xml:space="preserve">Numéro de rôle : 53/2010</w:t>
      </w:r>
    </w:p>
    <w:p/>
    <w:p/>
    <w:p>
      <w:pPr/>
      <w:r>
        <w:rPr/>
        <w:t xml:space="preserve">
La Cour constitutionnelle,
composée des présidents M. Bossuyt et M. Melchior, des juges R. Henneuse, L. Lavrysen, J.-P. Moerman et E. Derycke, et, conformément à l'article 60bis de la loi spéciale du 6 janvier 1989 sur la Cour constitutionnelle, du président émérite P. Martens, assistée du greffier P.-Y. Dutilleux, présidée par le président M. Bossuyt,
après en avoir délibéré, rend l'arrêt suivant : 
I. Objet des questions préjudicielles et procédure 
a. Par jugement du 1er septembre 2009 en cause de Stefaan Desloovere contre l'ASBL « Bureau belge des assureurs automobiles », dont l'expédition est parvenue au greffe de la Cour le 9 septembre 2009, le Tribunal de police de Bruges a posé la question préjudicielle suivante : 
« L'article 162bis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du Bureau belge des assureurs automobiles,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le tribunal pénal a condamné cette partie intervenante volontaire seule à la réparation du dommage ? ».
b. Par jugement du 8 octobre 2009 en cause du ministère public contre M. Vandendriessche et S. Mauroo, dont l'expédition est parvenue au greffe de la Cour le 21 octobre 2009, le Tribunal de police de Courtrai a posé la question préjudicielle suivante : 
« L'article 162bis, alinéa 1er,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la partie intervenante volontaire est le Fonds commun de garantie automobile, qui est condamné à la réparation du dommage en vertu des articles 19bis -2, 2°, et 19bis -17 de la loi du 21 novembre 1989 relative à l'assurance obligatoire de la responsabilité en matière de véhicules automoteurs ? ». 
Ces affaires, inscrites sous les numéros 4767 et 4788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Cette disposition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 jugement qui interroge la Cour dans l'affaire n° 4767 fait apparaître que, contrairement aux jugements qui ont conduit à l'arrêt n° 70/2009 du 23 avril 2009, le juge a quo n'a pas condamné in solidum le prévenu et son assureur, partie intervenante volontaire, à indemniser les parties civiles mais que seul l'assureur, et non le condamné, était appelé au règlement des effets civils des condamnations pénales.
B.3. Dans l'affaire n° 4767, la Cour limite son examen à l'hypothèse où, après la condamnation pénale de l'assuré par la juridiction répressive, l'assuré n'est plus appelé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B.5.1.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B.5.2. Le fait que l'ASBL « Bureau belge des assureurs automobiles » (affaire n° 4767) intervienne volontairement n'empêche pas l'application de l'article 89, § 5, précité.
Conformément à l'article 19bis -1 de la loi du 21 novembre 1989 relative à l'assurance obligatoire de la responsabilité en matière de véhicules automoteurs, ce Bureau indemnise la victime d'un accident de la circulation, lorsque celui-ci - comme c'est le cas dans le litige soumis au juge a quo - a été causé par un véhicule étranger. L'article 2, § 2, de la même loi dispose expressément que le Bureau doit être assimilé à un assureur.
B.5.3. En ce qui concerne le Fonds commun de garantie automobile (affaire n° 4788), la loi du 21 novembre 1989, précitée, prévoit une réglementation similaire à celle de l'article 89, § 5, de la loi du 25 juin 1992.
L'article 19bis -17 de la loi du 21 novembre 1989 dispose : 
« Lorsque l'action civile en réparation du dommage causé par un véhicule automoteur est intentée devant la juridiction répressive, le Fonds peut être mis en cause par la personne lésée et peut aussi intervenir volontairement dans les mêmes conditions que si l'action était portée devant la juridiction civile. Lorsque, en cas de non assurance, il a procédé à la réparation du dommage, le Fonds peut se porter partie civile contre la personne responsable.
Le Fonds et la personne responsable peuvent se faire représenter dans les mêmes conditions que la partie civilement responsable ».
B.6. En vertu de l'article 601bis du Code judiciaire, le tribunal de police connaît de toute demande relative à la réparation d'un dommage résultant d'un accident de la circulation.
B.7. Dès lors que, comme le relève le juge a quo dans l'affaire n° 4767, le tribunal de police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ne prévoit pas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sur la Cour constitutionnelle, à l'audience publique du 6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5BD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2024-03-29T14:31:34+01:00</dcterms:created>
  <dcterms:modified xsi:type="dcterms:W3CDTF">2024-03-29T14:31:34+01:00</dcterms:modified>
</cp:coreProperties>
</file>

<file path=docProps/custom.xml><?xml version="1.0" encoding="utf-8"?>
<Properties xmlns="http://schemas.openxmlformats.org/officeDocument/2006/custom-properties" xmlns:vt="http://schemas.openxmlformats.org/officeDocument/2006/docPropsVTypes"/>
</file>