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20 December 2012 (België). RG 155/2012</w:t>
      </w:r>
      <w:bookmarkEnd w:id="1"/>
    </w:p>
    <w:p/>
    <w:p/>
    <w:p>
      <w:pPr>
        <w:numPr>
          <w:ilvl w:val="0"/>
          <w:numId w:val="2"/>
        </w:numPr>
      </w:pPr>
      <w:r>
        <w:rPr/>
        <w:t xml:space="preserve">Date : 20-12-2012</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N-20121220-3</w:t>
      </w:r>
    </w:p>
    <w:p>
      <w:pPr>
        <w:numPr>
          <w:ilvl w:val="0"/>
          <w:numId w:val="2"/>
        </w:numPr>
      </w:pPr>
      <w:r>
        <w:rPr/>
        <w:t xml:space="preserve">Numéro de rôle : 155/2012</w:t>
      </w:r>
    </w:p>
    <w:p/>
    <w:p/>
    <w:p>
      <w:pPr/>
      <w:r>
        <w:rPr/>
        <w:t xml:space="preserve">
Het Grondwettelijk Hof, beperkte kamer,
samengesteld uit voorzitter R. Henneuse en de rechters-verslaggevers F. Daoût en A. Alen, bijgestaan door de griffier F. Meersschaut,
wijst na beraad het volgende arrest :
I. Onderwerp van het beroep en rechtspleging
Bij verzoekschrift dat aan het Hof is toegezonden bij op 28 september 2012 ter post aangetekende brief en ter griffie is ingekomen op 1 oktober 2012, heeft Georges Frisque, wonende te 1050 Brussel, Wérystraat 39, beroep tot vernietiging ingesteld van artikel 15 van de wet van 19 juli 2012 betreffende de hervorming van het gerechtelijk arrondissement Brussel (bekendgemaakt in het Belgisch Staatsblad van 22 augustus 2012).
Op 16 oktober 2012 hebben de rechters-verslaggevers F. Daoût en A. Alen, met toepassing van artikel 71, eerste lid, van de bijzondere wet van 6 januari 1989 op het Grondwettelijk Hof, de voorzitter ervan in kennis gesteld dat zij ertoe zouden kunnen worden gebracht aan het Hof, zitting houdend in beperkte kamer, voor te stellen een arrest te wijzen waarbij wordt vastgesteld dat het beroep tot vernietiging klaarblijkelijk onontvankelijk is.
(...)
II. In rechte
(...)
B.1. Artikel 142, derde lid, van de Grondwet en artikel 2, 2°, van de bijzondere wet van 6 januari 1989 op het Grondwettelijk Hof vereisen dat elke natuurlijke persoon die een beroep tot vernietiging instelt, doet blijken van een belang. Van het vereiste belang doen slechts blijken de personen wier situatie door de bestreden norm rechtstreeks en ongunstig zou kunnen worden geraakt. De actio popularis is niet toelaatbaar.
Om te voldoen aan de vereisten van artikel 6 van de bijzondere wet van 6 januari 1989, moeten de middelen van het verzoekschrift eveneens te kennen geven welke van de regels waarvan het Hof de naleving waarborgt, zouden geschonden zijn, alsook welke de bepalingen zijn die deze regels zouden schenden, en uiteenzetten in welk opzicht die regels door de bedoelde bepalingen zouden zijn geschonden.
B.2. De verzoekende partij vordert de vernietiging van artikel 15 van de wet van 19 juli 2012 betreffende de hervorming van het gerechtelijk arrondissement Brussel.
Het genoemde artikel 15 bepaalt :
« Artikel 150 van hetzelfde [Gerechtelijk] Wetboek, gewijzigd bij de wetten van 22 december 1998 en 12 april 2004, waarvan de bestaande tekst § 1 zal vormen, wordt aangevuld met de § § 2 en 3, luidende :
' § 2. In afwijking van § 1, zijn er in het gerechtelijk arrondissement Brussel twee procureurs des Konings, onverminderd § 3, artikel 137 en artikel 138bis, § 3 :
1° de procureur des Konings van Halle-Vilvoorde oefent in het administratief arrondissement Halle-Vilvoorde onder het gezag van de procureur-generaal van Brussel het ambt van openbaar ministerie uit bij de Nederlandstalige arrondissementsrechtbank, de Nederlandstalige rechtbank van eerste aanleg, de Nederlandstalige rechtbank van koophandel en bij de politierechtbanken. De aan deze procureur verbonden ambtenaren van het openbaar ministerie worden benoemd bij de Nederlandstalige rechtbank met standplaats het administratief arrondissement Halle-Vilvoorde;
2° de procureur des Konings van Brussel oefent, in het administratief arrondissement Brussel-Hoofdstad, onder het gezag van de procureur-generaal van Brussel, het ambt van openbaar ministerie uit bij de arrondissementsrechtbanken, de rechtbanken van eerste aanleg, de rechtbanken van koophandel en de politierechtbanken. Deze procureur des Konings wordt bijgestaan door een eerste substituut met als titel adjunct-procureur des Konings van Brussel, met het oog op het overleg bedoeld in artikel 150ter. Onverminderd de bevoegdheden van het coördinatiecomité bedoeld in artikel 150ter, treedt de adjunct-procureur des Konings van Brussel op onder het gezag en de leiding van de procureur des Konings van Brussel. In die omstandigheden staat hij hem bij, in het bijzonder voor de relaties met het parket van Halle-Vilvoorde, de goede werking van de Nederlandstalige rechtbank van eerste aanleg, de Nederlandstalige rechtbank van koophandel en de Nederlandstalige politierechtbank van het administratief arrondissement Brussel, en de relaties met de Nederlandstalige magistratuur en het Nederlandstalig personeel van het parket te Brussel. De aan de procureur des Konings van Brussel verbonden ambtenaren van het openbaar ministerie worden benoemd bij de Brusselse rechtbanken met standplaats het administratief arrondissement Brussel-Hoofdstad.
§ 3. In afwijking van § 2, oefenen substituten bedoeld in artikel 43, § 5bis, eerste lid, van de wet van 15 juni 1935 op het gebruik der talen in gerechtszaken, hun ambt uit bij voorrang ten opzichte van verdachten die een taalwijziging of doorverwijzing hebben gevraagd overeenkomstig artikel 15, § 2, en artikel 16, § § 2 en 3, van dezelfde wet. Zij vorderen bij de Franstalige rechtbank van Brussel na toepassing van het voornoemde artikel 16, § § 2 en 3, in voorkomend geval, ingevolge doorverwijzing op basis van deze bepaling, en bij de politierechtbank bedoeld in artikel 15 van dezelfde wet, en na verwijzing van die laatste overeenkomstig het voornoemd artikel 15, § 2, bij de Franstalige politierechtbank van Brussel. Zij blijven onder de hiërarchische leiding van de procureur des Konings van Brussel, maar worden geplaatst onder het gezag van de procureur des Konings van Halle-Vilvoorde wat betreft de toepassing van de richtlijnen en de instructies inzake het strafrechtelijk beleid. ' ».
B.3. Te dezen is niet voldaan aan de in B.1 beschreven vereisten, aangezien noch het verzoekschrift, noch de memorie met verantwoording aantonen hoe de bestreden bepaling de verzoekende partij rechtstreeks en ongunstig zou kunnen raken en het evenmin mogelijk maken om de exacte draagwijdte van het enige aangevoerde middel te vatten.
B.4. Het beroep tot vernietiging is klaarblijkelijk niet ontvankelijk.
Om die redenen,
het Hof, beperkte kamer,
met eenparigheid van stemmen uitspraak doende,
verwerpt het beroep tot vernietiging.
Aldus uitgesproken in het Frans, het Nederlands en het Duits, overeenkomstig artikel 65 van de bijzondere wet van 6 januari 1989 op het Grondwettelijk Hof, op de openbare terechtzitting van 20 december 2012.
De griffier,
F. Meersschaut
De voorzitter,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FB8C0F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2024-04-19T14:27:32+02:00</dcterms:created>
  <dcterms:modified xsi:type="dcterms:W3CDTF">2024-04-19T14:27:32+02:00</dcterms:modified>
</cp:coreProperties>
</file>

<file path=docProps/custom.xml><?xml version="1.0" encoding="utf-8"?>
<Properties xmlns="http://schemas.openxmlformats.org/officeDocument/2006/custom-properties" xmlns:vt="http://schemas.openxmlformats.org/officeDocument/2006/docPropsVTypes"/>
</file>