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58/2014</w:t>
      </w:r>
      <w:bookmarkEnd w:id="1"/>
    </w:p>
    <w:p/>
    <w:p/>
    <w:p>
      <w:pPr>
        <w:numPr>
          <w:ilvl w:val="0"/>
          <w:numId w:val="2"/>
        </w:numPr>
      </w:pPr>
      <w:r>
        <w:rPr/>
        <w:t xml:space="preserve">Date : 03-04-2014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F-20140403-2</w:t>
      </w:r>
    </w:p>
    <w:p>
      <w:pPr>
        <w:numPr>
          <w:ilvl w:val="0"/>
          <w:numId w:val="2"/>
        </w:numPr>
      </w:pPr>
      <w:r>
        <w:rPr/>
        <w:t xml:space="preserve">Numéro de rôle : 58/2014</w:t>
      </w:r>
    </w:p>
    <w:p/>
    <w:p/>
    <w:p>
      <w:pPr/>
      <w:r>
        <w:rPr/>
        <w:t xml:space="preserve">
La Cour constitutionnelle,
composée des présidents A. Alen et J. Spreutels, et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des questions préjudicielles et procédure
Par arrêts nos 223.593, 223.594 et 223.592 du 24 mai 2013, en cause de, respectivement, Damien Thiery, François van Hoobrouck d'Aspre et Véronique Caprasse contre la Région flamande, dont les expéditions sont parvenues au greffe de la Cour le 28 mai 2013, le Conseil d'Etat a posé la question préjudicielle suivante :
« Les principes d'égalité et de non-discrimination et les articles 10 et 11 de la Constitution, combinés ou non avec l'article 4 de la Constitution, sont-ils violés par l'article 13bis de la nouvelle loi communale, inséré par l'article 10/1 de la loi du 9 août 1988 ' portant modification de la loi communale, de la nouvelle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inséré par l'article 4 de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dans la mesure où, à cet égard, la nomination, par le Gouvernement flamand, des bourgmestres des communes périphériques et la protection que le Gouvernement flamand peut offrir aux habitants de ces communes, ainsi que la contestation de cette nomination, sont soumises à d'autres règles que la nomination, par le gouvernement régional concerné, des bourgmestres des autres communes en général, des autres communes à statut linguistique spécial en particulier et des communes de la frontière linguistique plus spécifiquement, à tout le moins dans la mesure où l'arrêt de l'assemblée générale de la section du contentieux administratif du Conseil d'Etat qui annule le refus de nomination conduit en outre à la nomination définitive du bourgmestre désigné et à son remplacement comme échevin, s'il avait été élu comme échevin, et que tel est également le cas si le refus de nomination est annulé en raison d'une illégalité externe en général ou d'un vice de forme en particulier ? ».
Par les arrêts précités nos 223.593 et 223.594 a été posée en outre la seconde question préjudicielle suivante :
« L'article 7 de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viole-t-il les articles 4, 10 et 11 de la Constitution, dans la mesure où cette disposition doit être interprétée en ce sens que, en cas d'absence de nomination d'un bourgmestre dans une des communes périphériques, il ne peut pas être tenu compte du comportement du candidat durant la période qui précède l'entrée en vigueur de la loi spéciale précitée, même si ce comportement est toujours actuel et pertinent lorsque l'intéressé persiste explicitement dans celui-ci, alors que pour la nomination de bourgmestres en dehors des communes périphériques, le comportement qui précède ce même moment peut effectivement entrer en ligne de compte ? ».
Ces affaires, inscrites sous les numéros 5640, 5641 et 5642 du rôle de la Cour, ont été jointes.
(...)
III. En droit
(...)
Quant aux dispositions en cause
B.1.1. La loi spéciale du 19 juillet 2012 « portant modification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(dite « de pacification communautaire ») et de la loi spéciale du 8 août 1980 de réformes institutionnelles, concernant la nomination des bourgmestres des communes périphériques » a instauré une nouvelle procédure pour la nomination des bourgmestres des communes périphériques, en vertu de laquelle la contestation du refus d'une nomination est tranchée par l'assemblée générale de la section du contentieux administratif du Conseil d'Etat.
L'article 4 de cette loi spéciale a inscrit la nouvelle procédure dans la loi de pacification, qui l'insère à son tour dans la Nouvelle loi communale.
L'article 13bis, inséré dans la Nouvelle loi communale, dispose :
« § 1er. Dans les communes périphériques visées à l'article 7 des lois sur l'emploi des langues en matière administrative, coordonnées le 18 juillet 1966, l'acte de présentation du bourgmestre est confirmé par un vote du conseil communal et est transmis au Gouvernement flamand. A dater de ce vote, le candidat bourgmestre est désigné bourgmestre, porte le titre de ' bourgmestre désigné ' et exerce toutes les fonctions dévolues au bourgmestre. Il n'est toutefois pas remplacé comme échevin, s'il avait été élu comme échevin.
§ 2. Dès réception de cet acte de présentation confirmé par le vote du conseil communal, le Gouvernement flamand dispose d'un délai de soixante jours pour procéder à la nomination du bourgmestre désigné ou notifier une décision de refus de nomination conformément au § 4.
§ 3. Si le Gouvernement flamand nomme le bourgmestre désigné ou ne notifie pas de décision dans le délai qui lui est imparti, le bourgmestre désigné est définitivement nommé et remplacé comme échevin, conformément à la procédure prévue à l'article 15, § 2, s'il avait été élu comme échevin.
§ 4. Si le Gouvernement flamand refuse la nomination définitive de l'intéressé, il notifie cette décision de refus au bourgmestre désigné, au gouverneur et au gouverneur-adjoint de la province du Brabant flamand, au secrétaire communal de la commune concernée et à l'assemblée générale de la section du contentieux administratif du Conseil d'Etat. La notification au bourgmestre désigné indique également le lieu où le dossier administratif peut être consulté.
§ 5. Le bourgmestre désigné dispose d'un délai de trente jours à partir de la réception de la notification visée au § 4 pour déposer un mémoire auprès de l'assemblée générale de la section du contentieux administratif du Conseil d'Etat.
L'assemblée générale de la section du contentieux administratif statue dans les nonante jours de l'introduction de ce mémoire.
L'inscription au rôle général du Conseil d'Etat s'opère au moment de l'introduction du mémoire.
Le mémoire est daté et contient :
1° l'intitulé ' mémoire relatif à une décision concernant la nomination définitive d'un bourgmestre d'une commune périphérique ';
2° le nom et le domicile du bourgmestre désigné, et le domicile élu;
3° un exposé des faits et des moyens.
Le mémoire n'est pas inscrit au rôle :
1° s'il n'est pas signé ou n'est pas accompagné de quatre copies certifiées conformes par le signataire;
2° s'il n'est pas joint un inventaire des pièces, lesquelles doivent toutes être numérotées conformément à cet inventaire.
En cas d'application de l'alinéa 5, le greffier en chef adresse un courrier au bourgmestre désigné précisant la cause du non-enrôlement et l'invitant à régulariser son mémoire dans les quinze jours.
Le bourgmestre désigné qui régularise son mémoire dans les quinze jours de la réception de l'invitation visée à l'alinéa 6 est censé l'avoir déposé à la date de son premier envoi.
Un mémoire non régularisé ou régularisé de manière incomplète ou tardive est réputé non déposé.
En même temps qu'il dépose son mémoire, le bourgmestre désigné envoie une copie de celui-ci au Gouvernement flamand pour son information. Cet envoi ne fait pas courir les délais que le Gouvernement flamand doit prendre en considération.
Le greffier en chef transmet sans délai une copie du mémoire au Gouvernement flamand, à l'auditeur général et à l'auditeur général adjoint.
Dans les quinze jours de la notification du mémoire par le greffier en chef, le Gouvernement flamand lui transmet le dossier administratif complet auquel il peut joindre une note d'observations.
Un des exemplaires de la note est communiqué par le greffier en chef au bourgmestre désigné ainsi qu'aux membres de l'auditorat visés à l'article 93, § 5, des lois sur le Conseil d'Etat, coordonnées le 12 janvier 1973.
Toute note d'observations tardive est écartée des débats.
Dans les quinze jours de la réception du dossier, les membres de l'auditorat rédigent un rapport conformément à l'article 93, § 5, des lois sur le Conseil d'Etat, coordonnées le 12 janvier 1973. Le cas échéant, ils invitent les parties à s'expliquer plus amplement sur les points qu'ils indiquent.
Au vu du rapport, le premier président ou le président fixe par ordonnance la date de l'audience à laquelle l'affaire sera traitée par l'assemblée générale de la section du contentieux administratif du Conseil d'Etat.
L'ordonnance de fixation est notifiée sans délai par le greffier en chef :
1° aux membres de l'auditorat visés à l'article 93, § 5, des lois sur le Conseil d'Etat, coordonnées le 12 janvier 1973;
2° au Gouvernement flamand;
3° au bourgmestre désigné.
Le rapport est joint à la convocation. Les parties et leur avocat peuvent consulter le dossier au greffe pendant le temps fixé dans l'ordonnance du premier président ou du président.
Les articles 93, § 5, alinéa 1er, 95, §§ 2 à 4, et 97, alinéa 3, des lois sur le Conseil d'Etat, coordonnées le 12 janvier 1973 sont applicables à la procédure instituée par le présent article. Les articles 21, alinéa 6, 21bis et 30, § 3, de ces mêmes lois coordonnées ne sont pas d'application.
§ 6. Si le bourgmestre désigné ne dépose pas de mémoire endéans le délai de trente jours visé au § 5, premier alinéa, ou si l'assemblée générale de la section du contentieux administratif du Conseil d'Etat confirme la décision de refus, celle-ci est définitive. Le conseil communal dispose de trente jours à partir de la date à laquelle la décision de refus est devenue définitive pour confirmer par un vote un nouvel acte de présentation.
§ 7. Si l'assemblée générale de la section du contentieux administratif du Conseil d'Etat infirme la décision de refus de nomination, son arrêt emporte la nomination définitive du bourgmestre désigné et son remplacement comme échevin, conformément à la procédure prévue à l'article 15, § 2, s'il avait été élu comme échevin.
§ 8. Pour tout ce qui n'est pas réglé par le présent article, les lois sur le Conseil d'Etat, coordonnées le 12 janvier 1973, et l'arrêté du Régent du 23 août 1948 déterminant la procédure devant la section du contentieux administratif du Conseil d'Etat sont d'application ».
La loi spéciale du 19 juillet 2012 est entrée en vigueur le 14 octobre 2012.
B.1.2. L'article 7 de cette loi spéciale dispose :
« La simple existence d'une décision de refus de nomination antérieure à l'entrée en vigueur de la présente loi ne peut être invoquée pour justifier le refus de nomination d'un bourgmestre désigné conformément à la procédure visée à l'article 4 ».
Quant à la recevabilité des questions préjudicielles
B.2.1. Les parties requérantes devant la juridiction a quo dans les affaires nos 5640 et 5641 contestent la recevabilité de la première question préjudicielle au motif qu'un refus de nomination ne pourrait être prononcé « en raison d'une illégalité externe en général ou d'un vice de forme en particulier ». Elles contestent également la recevabilité de la seconde question préjudicielle au motif que celle-ci serait fondée sur une prémisse erronée.
B.2.2. Dès lors que les exceptions d'irrecevabilité dépendent de la portée des dispositions en cause, l'examen de ces exceptions se confond avec l'examen du fond de l'affaire.
Quant à la première question préjudicielle
B.3. La première question préjudicielle interroge la Cour sur la compatibilité de l'article 13bis de la Nouvelle loi communale, cité en B.1.1, avec les articles 10 et 11, combinés ou non avec l'article 4, de la Constitution, dans la mesure où il établit une différence de traitement, en ce qui concerne la procédure de nomination de bourgmestre, entre les candidats des communes périphériques et les candidats des autres communes de la région de langue néerlandaise, au motif qu'il prévoit, pour la première catégorie, une procédure dérogatoire en vertu de laquelle un arrêt de l'assemblée générale de la section du contentieux administratif du Conseil d'Etat annulant la décision de refus de nomination d'un bourgmestre de la commune périphérique emporte la nomination définitive du bourgmestre, même « si le refus de nomination est annulé en raison d'une illégalité externe en général ou d'un vice de forme en particulier ».
B.4.1. Selon le Conseil des ministres et les parties requérantes devant la juridiction a quo, les catégories de personnes invoquées ne sont pas comparables, au motif que les communes périphériques sont soumises à un régime linguistique spécial qui déroge au régime des autres communes de la région de langue néerlandaise.
B.4.2. Il ne faut cependant pas confondre différence et non-comparabilité. Le régime linguistique spécifique auquel les communes sont soumises peut certes constituer un élément dans l'appréciation d'une différence de traitement, mais il ne suffit pas pour conclure à la non-comparabilité, sous peine de priver de sa substance le contrôle qui est exercé au regard du principe d'égalité et de non-discrimination.
B.5. Selon le Conseil des ministres, la disposition en cause serait, eu égard à l'article 160 de la Constitution, conforme à la Constitution et il n'appartiendrait pas à la Cour de contredire cette appréciation du Constituant.
B.6.1. L'article 160 de la Constitution dispose :
« Il y a pour toute la Belgique un Conseil d'Etat, dont la composition, la compétence et le fonctionnement sont déterminés par la loi. Toutefois, la loi peut attribuer au Roi le pouvoir de régler la procédure conformément aux principes qu'elle fixe.
Le Conseil d'Etat statue par voie d'arrêt en tant que juridiction administrative et donne des avis dans les cas déterminés par la loi.
Une modification des règles sur l'assemblée générale de la section du contentieux administratif du Conseil d'Etat qui entrent en vigueur le même jour que cet alinéa, ne peut être apportée que par une loi adoptée à la majorité prévue à l'article 4, dernier alinéa ».
B.6.2. Le dernier alinéa de cette disposition constitutionnelle a été inséré lors de la « révision de l'article 160 de la Constitution » du 19 juillet 2012. Il est entré en vigueur le 14 octobre 2012.
Il ressort des travaux préparatoires de cette révision que non seulement le Constituant entendait prévoir que les règles relatives à l'assemblée générale de la section du contentieux administratif du Conseil d'Etat ne puissent à l'avenir être modifiées que par une loi à majorité spéciale, mais qu'il a aussi fait siens les choix découlant de ces règles. Dans les développements de la proposition précitée, il a été mentionné ce qui suit à ce sujet :
« La présente proposition de révision de la Constitution tend à prévoir que les règles relatives à l'assemblée générale de la section du contentieux administratif du Conseil d'Etat qui entrent en vigueur le même jour que le texte constitutionnel proposé ne pourront plus être modifiées, à l'avenir, que par une loi adoptée à la majorité spéciale, prévue à l'article 4, dernier alinéa.
Ces règles font l'objet d'une proposition de la loi qui sera sanctionnée et promulguée en même temps que la disposition constitutionnelle proposée (Doc. Sénat, n° 5-1563/1 - 2011-2012).
La présente proposition de révision de la Constitution doit donc être lue conjointement avec cette proposition de loi. Ces deux propositions procèdent en effet d'une même intention. La loi qui résultera de cette proposition est ainsi consolidée par la nouvelle disposition constitutionnelle proposée. Elle ne pourra à l'avenir être modifiée que par une loi adoptée à la majorité spéciale.
En se référant à la loi qui définit les compétences nouvelles et les modalités de délibération de l'assemblée générale de la section du contentieux administratif du Conseil d'Etat à l'égard du contentieux des communes périphériques et en prévoyant que les règles y relatives ne pourront être modifiées que par une loi adoptée à la majorité spéciale, le texte constitutionnel proposé a pour effet que le constituant marque son accord au regard des options prises par le législateur et que donc les autres principes constitutionnels ne font pas obstacle à ces options (comp. Cour d'Arbitrage, arrêt n° 2004/201, cons. B.7.2 à B.8.3).
C'est le constat que cette réforme touche au coeur des grands équilibres qui oeuvrent à la paix communautaire qui justifie - par analogie avec ce que prévoient les autres dispositions de la Constitution qui, à l'identique, touchent à ces grands équilibres (voy. par exemple l'article 129, § 2) - que les règles sur l'assemblée générale de la section du contentieux administratif du Conseil d'Etat qui entrent en vigueur le même jour que le texte constitutionnel proposé, ne puissent être modifiées à l'avenir que moyennant le recours à la majorité visée à l'article 4, dernier alinéa, de la Constitution » (Doc. parl., Sénat, 2011-2012, n° 5-1564/1, pp. 1-2).
B.6.3. Il convient par ailleurs de constater que le rapport sur la proposition de révision de l'article 160 de la Constitution était un rapport commun portant également sur la proposition de loi « modifiant les lois sur le Conseil d'Etat, coordonnées le 12 janvier 1973 », sur la proposition de loi spéciale « modifiant l'article 16bis de la loi spéciale du 8 août 1980 de réformes institutionnelles et l'article 5bis de la loi spéciale du 12 janvier 1989 relative aux Institutions bruxelloises », ainsi que sur la proposition de loi devenue la loi en cause.
Ce rapport expliquait que ces propositions « s'articulent autour de la même thématique, puisqu'elles portent toutes sur les communes périphériques et, en particulier, sur le contentieux administratif relatif à ces communes, la nomination de leurs bourgmestres et l'action du Conseil d'Etat en la matière » (Doc. parl., Sénat, 2011-2012, n° 5-1563/4, p. 3).
L'« interdépendance » de ces propositions de loi et de la proposition de révision de l'article 160 de la Constitution (ibid.) était soulignée :
« Constitution et loi doivent être lues dans la même perspective. C'est la raison pour laquelle les règles constitutionnelle et législatives en la matière entreront en vigueur le même jour » (ibid., p. 6).
Ce rapport expose encore que les propositions de loi, dont la modification de la loi de pacification, et la révision de l'article 160 de la Constitution « reposent en effet sur la même intention » (ibid., p. 10).
La section de législation du Conseil d'Etat a également confirmé, dans son avis sur la disposition en cause, le « lien très étroit » existant entre la proposition de loi instaurant une nouvelle procédure de nomination des bourgmestres des communes périphériques et la proposition de révision de l'article 160 de la Constitution (Doc. parl., Sénat, 2011-2012, n° 5-1565/2, p. 5).
B.6.4. La révision de l'article 160 de la Constitution du 19 juillet 2012, entrée en vigueur le 14 octobre 2012, doit donc être lue conjointement avec la loi du 19 juillet 2012 « modifiant les lois sur le Conseil d'Etat, coordonnées le 12 janvier 1973, en ce qui concerne l'examen des litiges par l'assemblée générale de la section du contentieux administratif, à la demande de personnes établies dans les communes périphériques », avec la loi spéciale du 19 juillet 2012 « modifiant l'article 16bis de la loi spéciale du 8 août 1980 de réformes institutionnelles et l'article 5bis de la loi spéciale du 12 janvier 1989 relative aux Institutions bruxelloises », ainsi qu'avec la disposition en cause, également entrées en vigueur le 14 octobre 2012.
B.6.5. La disposition en cause concrétise un des points de l'Accord institutionnel « pour la sixième réforme de l'Etat » du 11 octobre 2011 (Doc. parl., Sénat, 2011-2012, n° 5-1563/4, p. 7); le point 2.4 de cet accord détaille d'ailleurs la procédure suivie devant l'assemblée générale de la section du contentieux administratif du Conseil d'Etat, en prévoyant expressément que si l'assemblée générale infirme le refus de nomination, le bourgmestre est définitivement nommé, l'arrêt valant donc nomination.
Cette nouvelle procédure tend à mettre fin aux contestations répétées, apparues ces dernières années, concernant des refus de nomination des bourgmestres des communes périphériques, en confiant ces contestations à une juridiction linguistiquement paritaire.
B.6.6. Les travaux préparatoires portant sur la révision de l'article 160 de la Constitution exposent que « cette réforme touche au coeur des grands équilibres qui oeuvrent à la paix communautaire » (Doc. parl., Sénat, 2011-2012, n° 5-1564/1, p. 2).
Dans la même ligne, il a été souligné au cours de l'élaboration de la disposition en cause que la nouvelle procédure « relève de la recherche d'un indispensable équilibre entre les intérêts des différentes communautés et régions au sein de l'Etat belge et vise à éviter de nouveaux affrontements communautaires » (Doc. parl., Sénat, 2011-2012, n° 5-1565/1, p. 1).
Le législateur spécial entendait expressément limiter la nouvelle procédure aux six communes périphériques:
« La situation particulière de ces communes périphériques, la place qu'elles occupent dans l'équilibre fédéral et le souci de préserver ou d'assurer la paix communautaire justifient ce régime spécifique » (Doc. parl., Sénat, 2011-2012, n° 5-1563/4, p. 7).
Ainsi qu'il a été exposé en B.1.1, la nouvelle procédure a été insérée dans la loi de pacification du 9 août 1988. Cette loi a pour objectif général d'assurer la pacification, en édictant en matière de gestion communale et en matière électorale des dispositions qui soient de nature à faciliter l'administration des communes à statut linguistique spécial, à éviter les affrontements communautaires, à permettre une participation harmonieuse des majorités et minorités linguistiques à la gestion communale et à répondre à certains souhaits de minorités linguistiques. (voy. arrêt n° 18/90 du 23 mai 1990, B.9.1-B.9.2, et arrêt n° 35/2003 du 25 mars 2003, B.13.3).
La modification de l'article 16bis de la loi spéciale du 8 août 1980 de réformes institutionnelles et de l'article 5bis de la loi spéciale du 12 janvier 1989 relative aux Institutions bruxelloises, par une « actualisation » au 14 octobre 2012 de la clause de « standstill » contenue dans ces dispositions (Doc. parl., Sénat, 2011-2012, n° 5-1563/4, p. 10), confirme d'ailleurs que la procédure spécifique relative à la nomination des bourgmestres des six communes périphériques - en ce compris la compétence de l'assemblée générale de la section du contentieux administratif du Conseil d'Etat pour les contestations portant sur un refus de nomination - est conçue comme une « garantie » au profit des francophones des communes périphériques. Les travaux préparatoires relatifs à la disposition en cause expliquent également que la nouvelle procédure de nomination « constitue une garantie au sens de l'article 16bis de la loi spéciale du 8 août 1980 de réforme institutionnelle » (Doc. parl., Sénat, 2011-2012, n° 5-1565/1, p. 2; voy. aussi Doc. parl., Sénat, 2011-2012, n° 5-1563/4, p. 30).
B.7.1. La Cour n'est pas compétente pour se prononcer sur une différence de traitement ou une limitation d'un droit fondamental découlant d'un choix opéré par le Constituant lui-même.
Bien que ce choix doive en principe ressortir du texte de la Constitution, les travaux préparatoires peuvent en l'espèce suffire pour faire la clarté concernant ce choix, dès lors qu'il ressort indéniablement des développements précités, sans que ces propos aient été contredits, que le Constituant non seulement connaissait les dispositions relatives à l'assemblée générale de la section du contentieux administratif du Conseil d'Etat, entrées en vigueur le même jour que la révision de l'article 160 de la Constitution, mais qu'il s'est en outre approprié les choix qui en découlent.
B.7.2. Ce constat n'implique cependant pas que la disposition en cause échappe intégralement au pouvoir de contrôle de la Cour. En effet, il ressort de la référence contenue dans le dernier alinéa de l'article 160 de la Constitution que le Constituant n'approuve les choix faits par le législateur qu'en ce qui concerne les « règles sur l'assemblée générale de la section du contentieux administratif du Conseil d'Etat »; ces règles visent, comme l'exposent les travaux préparatoires cités en B.6.2, tant les compétences nouvelles que les modalités de délibération de l'assemblée générale de la section du contentieux administratif du Conseil d'Etat.
Dans la mesure où le choix du Constituant limite la compétence de la Cour, ce choix doit être interprété de manière restrictive. La Cour doit dès lors vérifier si la question préjudicielle vise des dispositions dont le Constituant s'est approprié les choix.
B.8. La procédure instaurée par la disposition en cause porte sur la nomination des bourgmestres dans les six communes périphériques.
Comme dans les autres communes de la région de langue néerlandaise, un candidat est présenté par les conseillers communaux à la nomination comme bourgmestre. Conformément à la nouvelle procédure, cet acte de présentation est, dans les communes périphériques, confirmé par un vote du conseil communal. A dater de ce vote, le candidat bourgmestre porte le titre de « bourgmestre désigné » et exerce toutes les fonctions dévolues au bourgmestre (article 13bis, § 1er, de la Nouvelle loi communale).
Dès réception de l'acte de présentation confirmé par le conseil communal, le Gouvernement flamand dispose d'un délai de soixante jours pour procéder ou non à la nomination du bourgmestre désigné (article 13bis, § 2). Si le Gouvernement flamand procède à la nomination ou ne notifie pas de décision dans le délai précité, le bourgmestre désigné est définitivement nommé (article 13bis, § 3). En revanche, si le Gouvernement flamand refuse la nomination, il communique la décision de refus au bourgmestre désigné, au gouverneur et au gouverneur adjoint de la province du Brabant flamand, au secrétaire communal de la commune concernée et à l'assemblée générale de la section du contentieux administratif du Conseil d'Etat (article 13bis, § 4).
Ensuite, le bourgmestre désigné dispose d'un délai de trente jours pour introduire un mémoire auprès de l'assemblée générale de la section du contentieux administratif du Conseil d'Etat. L'inscription au rôle général du Conseil d'Etat se fait au moment de l'introduction du mémoire. L'assemblée générale doit statuer dans les nonante jours de l'introduction du mémoire, après que les parties ont exposé leur point de vue. Deux auditeurs appartenant à des rôles linguistiques différents établissent ensemble un rapport et donnent chacun leur avis au cours d'une audience publique à la fin des débats. L'assemblée générale est présidée en alternance par le premier président et par le président, en fonction de l'inscription au rôle. En cas de parité des voix, la voix du président de l'assemblée générale est prépondérante (article 13bis, § 5).
Si l'assemblée générale de la section du contentieux administratif du Conseil d'Etat confirme la décision de refus de nomination, de même que si le bourgmestre désigné ne dépose pas de mémoire dans le délai fixé, le refus de nomination est définitif. Le conseil communal dispose alors d'un délai de trente jours pour confirmer un nouvel acte de présentation par un vote (article 13bis, § 6). Si l'assemblée générale de la section du contentieux administratif du Conseil d'Etat infirme la décision de refus de nomination, son arrêt emporte la nomination définitive du bourgmestre désigné (article 13bis, § 7).
B.9. L'article 4 de la Constitution dispose :
« La Belgique comprend quatre régions linguistiques : la région de langue française, la région de langue néerlandaise, la région bilingue de Bruxelles-Capitale et la région de langue allemande.
Chaque commune du Royaume fait partie d'une de ces régions linguistiques.
Les limites des quatre régions linguistiques ne peuvent être changées ou rectifiées que par une loi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
B.10.1. La première question préjudicielle porte sur la disposition en cause en ce que celle-ci a pour effet qu'un arrêt de l'assemblée générale de la section du contentieux administratif du Conseil d'Etat annulant une décision de refus de nomination emporte la nomination définitive du bourgmestre dans la commune périphérique (article 13bis, § 7, de la Nouvelle loi communale).
B.10.2. L'effet attaché à l'arrêt par lequel l'assemblée générale de la section du contentieux administratif du Conseil d'Etat infirme une décision de refus de nomination d'un bourgmestre d'une commune périphérique relève manifestement des « règles sur l'assemblée générale de la section du contentieux administratif du Conseil d'Etat », visées à l'article 160, dernier alinéa, de la Constitution.
La genèse de la disposition attaquée établit à suffisance que le fait que l'arrêt de l'assemblée générale emporte une nomination définitive constitue un élément inhérent à la nouvelle compétence confiée à l'assemblée générale de la section du contentieux administratif du Conseil d'Etat, dans le souci de mettre fin de manière effective aux contestations répétées portant sur des refus de nomination des bourgmestres des communes périphériques.
Etant donné que le Constituant a expressément estimé que les autres principes constitutionnels ne s'opposent pas à ce que l'assemblée générale de la section du contentieux administratif du Conseil d'Etat soit habilitée à statuer sur un refus de nomination d'un bourgmestre dans les communes périphériques, l'octroi de cette compétence et de ses effets ne peut être jugé contraire aux dispositions constitutionnelles invoquées.
Dès lors que la disposition attaquée repose, sur ce point, sur un choix du Constituant, il n'appartient pas à la Cour de contrôler cette disposition au regard de la Constitution.
B.11. La première question préjudicielle n'appelle pas de réponse.
Quant à la seconde question préjudicielle
B.12. La seconde question préjudicielle dans les affaires nos 5640 et 5641 interroge la Cour sur la compatibilité de l'article 7 de la loi spéciale du 19 juillet 2012, cité en B.1.2, avec les articles 4, 10 et 11 de la Constitution « dans la mesure où cette disposition doit être interprétée en ce sens que, en cas d'absence de nomination d'un bourgmestre dans une des communes périphériques, il ne peut pas être tenu compte du comportement du candidat durant la période qui précède l'entrée en vigueur de la loi spéciale précitée, même si ce comportement est toujours actuel et pertinent lorsque l'intéressé persiste explicitement dans celui-ci, alors que pour la nomination de bourgmestres en dehors des communes périphériques, le comportement qui précède ce même moment peut effectivement entrer en ligne de compte ».
B.13.1. L'article 7 en cause est une disposition transitoire en vertu de laquelle la simple existence d'une décision de refus de nomination antérieure à l'entrée en vigueur de la loi spéciale ne peut être invoquée pour justifier le refus de nomination d'un bourgmestre désigné, conformément à la procédure décrite en B.8.
Les travaux préparatoires de cette disposition mentionnent :
« Conformément à l'obligation de motivation matérielle et formelle, les éventuels refus de nomination du gouvernement flamand sont motivés, étant entendu que ne peut être invoquée la simple existence d'un refus de nomination antérieur à l'entrée en vigueur de la présente proposition de loi spéciale. Ce principe fait l'objet d'une disposition transitoire. Cette disposition transitoire ne porte que sur les refus de nomination antérieurs à son entrée en vigueur » (Doc. parl., Sénat, 2011-2012, n° 5-1565/1, p. 3; voy. aussi Doc. parl., Sénat, 2011-2012, n° 5-1563/4, p. 9).
B.13.2. La disposition, qui limite le pouvoir d'appréciation de l'autorité qui nomme, ne règle pas « les compétences nouvelles et les modalités de délibération de l'assemblée générale de la section du contentieux administratif du Conseil d'Etat » et ne repose dès lors pas sur un choix du Constituant. Il appartient dès lors à la Cour de contrôler cette disposition au regard de la Constitution.
B.14. Il appartient en règle au juge a quo d'interpréter les dispositions qu'il applique, sous réserve d'une lecture manifestement erronée de la disposition en cause.
Il ressort des travaux préparatoires précités que la disposition transitoire en cause « porte uniquement sur les refus de nomination antérieurs à l'entrée en vigueur de cette loi spéciale » (Doc. parl., Sénat, 2011-2012, n° 5-1565/1, p. 3), de sorte que « la simple existence d'une décision de refus » ne peut suffire à justifier à elle seule le refus de nomination d'un bourgmestre désigné.
Par contre, en ce que la question préjudicielle déduit de la disposition en cause qu'en cas de refus de nomination, il ne peut être tenu compte du comportement du candidat au cours de la période antérieure à l'entrée en vigueur de la loi spéciale, même si ce comportement qui a justifié le refus est toujours actuel et pertinent lorsque l'intéressé persiste explicitement dans celui-ci, la question préjudicielle, comme le confirme par ailleurs expressément le Conseil des ministres, est fondée sur une lecture erronée de cette disposition.
B.15. La seconde question préjudicielle n'appelle pas de réponse.
Par ces motifs,
la Cour
dit pour droit :
Les questions préjudicielles n'appellent pas de réponse.
Ainsi prononcé en langue néerlandaise et en langue française, conformément à l'article 65 de la loi spéciale du 6 janvier 1989 sur la Cour constitutionnelle, à l'audience publique du 3 avril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8DBC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2024-04-26T08:49:45+02:00</dcterms:created>
  <dcterms:modified xsi:type="dcterms:W3CDTF">2024-04-26T08:49:45+02:00</dcterms:modified>
</cp:coreProperties>
</file>

<file path=docProps/custom.xml><?xml version="1.0" encoding="utf-8"?>
<Properties xmlns="http://schemas.openxmlformats.org/officeDocument/2006/custom-properties" xmlns:vt="http://schemas.openxmlformats.org/officeDocument/2006/docPropsVTypes"/>
</file>