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Dezember 2014 (België). RG 183/2014</w:t>
      </w:r>
      <w:bookmarkEnd w:id="1"/>
    </w:p>
    <w:p/>
    <w:p/>
    <w:p>
      <w:pPr>
        <w:numPr>
          <w:ilvl w:val="0"/>
          <w:numId w:val="2"/>
        </w:numPr>
      </w:pPr>
      <w:r>
        <w:rPr/>
        <w:t xml:space="preserve">Date : 10-12-2014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D-20141210-5</w:t>
      </w:r>
    </w:p>
    <w:p>
      <w:pPr>
        <w:numPr>
          <w:ilvl w:val="0"/>
          <w:numId w:val="2"/>
        </w:numPr>
      </w:pPr>
      <w:r>
        <w:rPr/>
        <w:t xml:space="preserve">Numéro de rôle : 183/2014</w:t>
      </w:r>
    </w:p>
    <w:p/>
    <w:p/>
    <w:p>
      <w:pPr/>
      <w:r>
        <w:rPr/>
        <w:t xml:space="preserve">
Der Verfassungsgerichtshof,
zusammengesetzt aus den Präsidenten J. Spreutels und A. Alen, und den Richtern L. Lavrysen, J.-P. Snappe, J.-P. Moerman, E. Derycke und F. Daoût, unter Assistenz des Kanzlers F. Meersschaut, unter dem Vorsitz des Präsidenten J. Spreutels,
erlässt nach Beratung folgenden Entscheid:
I. Gegenstand der Vorabentscheidungsfrage und Verfahren
In seinem Urteil vom 25. November 2013 in Sachen der Wallonischen Region gegen die « Ethias » AG und die « Touring Assurances » AG, dessen Ausfertigung am 5. Dezember 2013 in der Kanzlei des Gerichtshofes eingegangen ist, hat das Polizeigericht Lüttich folgende Vorabentscheidungsfrage gestellt:
« Welche Auslegung soll Artikel 19bis-11 Absatz 2 des Gesetzes vom 21. November 1989 [zu lesen ist: Artikel 19bis-11 § 2 des Gesetzes vom 21. November 1989 über die Haftpflichtversicherung in Bezug auf Kraftfahrzeuge] hinsichtlich des Umfangs der Ansprüche des Opfers eines rein materiellen Schadens verliehen werden, und ist die Beschränkung der Beteiligung - wie im vorliegenden Fall - der Versicherer der betreffenden Fahrzeuge auf die alleinigen Körperschäden diskriminierend angesichts der Artikel 10 und 11 der Verfassung? ».
(...)
III. Rechtliche Würdigung
(...)
B.1. Artikel 19bis-11 des Gesetzes vom 21. November 1989 über die Haftpflichtversicherung in Bezug auf Kraftfahrzeuge bestimmt:
« § 1. Geschädigte können vom 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gemäß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B.2.1. Aufgrund von Artikel 19bis-11 § 2 des Gesetzes vom 21. November 1989 wird die Entschädigung des Geschädigten, wenn mehrere Fahrzeuge am Verkehrsunfall beteiligt sind und nicht festzustellen ist, welches Fahrzeug den Unfall verursacht hat, zu gleichen Teilen zwischen den Versicherern, die die zivilrechtliche Haftpflicht der Fahrer dieser Fahrzeuge decken, aufgeteilt, mit Ausnahme der Fahrer, die zweifellos nicht haftbar gemacht werden können.
Aus der Begründung der Vorlageentscheidung und der Formulierungsweise der Vorabentscheidungsfrage geht hervor, dass der Gerichtshof gefragt wird, ob der vorerwähnte Artikel 19bis-11 § 2 mit den Artikeln 10 und 11 der Verfassung vereinbar sei, dahin ausgelegt, dass diese Bestimmung die von den Versicherern gewährte Entschädigung für den vom Geschädigten erlittenen Sachschaden ausschließe, wenn die am Unfall beteiligten Personen zwar bekannt seien, aber nicht festgestellt werden könne, wer von ihnen den Unfall verursacht habe.
B.2.2. Der Fonds beteiligt sich in dem in Artikel 19bis-11 § 1 Nr. 7 des Gesetzes vom 21. November 1989 erwähnten Fall, wenn das Fahrzeug, das den Unfall verursacht hat, nicht identifiziert worden ist. In diesem Fall tritt der Fonds an die Stelle des Haftpflichtigen, wobei die Entschädigung auf die Entschädigung für den aus der Körperverletzung sich ergebenden Schaden beschränkt wird.
B.2.3. Obwohl der vorerwähnte Artikel 19bis-11 § 2 an sich keine Beschränkung der darin genannten Entschädigung auf bloße Körperverletzung enthält, scheint die Auslegung dieser Bestimmung, die dem Gerichtshof zur Prüfung vorgelegt wird, Artikel 4 des Gesetzes Rechnung zu tragen, der eine solche Beschränkung enthält und bestimmt:
« § 1. Niemand darf in seiner Eigenschaft als Versicherter von der Entschädigung ausgeschlossen werden, außer wer aufgrund von Artikel 18 des Gesetzes vom 3. Juli 1978 über die Arbeitsverträge von jeder Haftung befreit ist.
Jedoch können von der Entschädigung ausgeschlossen werden, wenn sie keinen Personenschaden erlitten haben:
- der Fahrer des Fahrzeugs,
§ 2. Von der Versicherung ausgeschlossen werden kann der Schaden, der bei Teilnahme des Kraftfahrzeugs an Geschwindigkeits-, Gleichmäßigkeits- oder Geschicklichkeitsrennen oder -wettbewerben entsteht, die gemäß Artikel 8 zugelassen sind ».
B.3. Der Gesetzgeber beabsichtigte, in Artikel 19bis-11 des Gesetzes vom 21. November 1989 das zu übernehmen, was bereits in Artikel 80 § 1 des Gesetzes vom 9. Juli 1975 über die Kontrolle der Versicherungsunternehmen festgelegt war, jedoch mit den Änderungen, die infolge der europäischen Regelung und der Rechtsprechung des Gerichtshofes notwendig waren. Mit der in Artikel 19bis-11 § 1 Nr. 7 enthaltenen Regel wollte der Gesetzgeber insbesondere dem Entscheid Nr. 96/2000 vom 20. September 2000 Folge leisten, in dem der Gerichtshof für Recht erkannt hat, dass Artikel 80 § 1 des vorerwähnten Gesetzes vom 9. Juli 1975 nicht mit den Artikeln 10 und 11 der Verfassung vereinbar war, insofern er die Entschädigung für die Körperverletzung einer verletzten Person von der Beteiligung des Gemeinsamen Garantiefonds bei Nichtidentifizierung des Fahrzeugs ausschloss.
B.4.1. Während der Gesetzgeber 1971 die Beteiligung des Gemeinsamen Entschädigungsfonds gewährleisten wollte, da es « aus Gründen sozialer Gerechtigkeit nicht angebracht ist, die Opfer von Verkehrsunfällen ohne Entschädigung zu lassen, wenn diese nicht vergütet werden können » (Parl. Dok., Senat, 1970-1971, Nr. 570, S. 52), hat er gleichwohl 1975 eine begrenzte Beteiligung des Gemeinsamen Entschädigungsfonds vorgesehen, und dies aufgrund folgender Rechtfertigung des Abänderungsantrags der Regierung, der zur beanstandeten Bestimmung geführt hat:
« Laut Nr. 2 des § 1 von Artikel 50, wie er im Dok. 570 abgefasst war, war die Intervention des Gemeinsamen Entschädigungsfonds in gleich welcher Hypothese einer ausbleibenden Intervention einer zugelassenen Versicherungsgesellschaft obligatorisch; dies bezog sich z.B. auf alle Beschränkungen, die durch die Gesetzgebung über die Kraftfahrzeug-Haftpflichtversicherung der Vergütung der benachteiligten Personen auferlegt werden.
Die finanziellen Folgen dieser Bestimmung wären sehr schwer gewesen. Aus diesem Grund übernimmt der Änderungsantrag den Text des ursprünglichen Gesetzes über die Versicherungsaufsicht (Dok. Senat 269), in dem die Intervention des Fonds für den Fall vorgesehen war, dass wegen der Nichtbeachtung der Versicherungspflicht kein einziges zugelassenes Versicherungsunternehmen gesetzlich zum Schadensersatz verpflichtet ist. Dieser Standpunkt findet sich übrigens auch in dem Gesetzesentwurf über die Kraftfahrzeug-Haftpflichtversicherung wieder (Art. 20 § 1 Nr. 2), der schon durch die Kammer angenommen wurde.
Der Änderungsantrag führt überdies eine Bestimmung ein, in der sich der Wille der Mitglieder des Wirtschaftsausschusses widerspiegelt, die obligatorische Intervention des Fonds auf die Wiedergutmachung des Schadens auszudehnen, der durch einen auf einen Zufall zurückzuführenden Verkehrsunfall entstanden ist (Dok. Senat, 570, S. 52) » (Parl. Dok., Senat, 1974-1975, Nr. 468-2, S. 19).
B.4.2. Unter Berücksichtigung des angestrebten Ziels der Regelung und unter Berücksichtigung der Haushaltsmittel des Gemeinsamen Entschädigungsfonds, der mit Beiträgen der für die Kraftfahrzeug-Haftpflichtversicherung zugelassenen Versicherungsgesellschaften finanziert werden muss, ist es nicht unvernünftig, dass der Gesetzgeber die Beteiligung des Fonds beschränkt.
B.4.3. Der Gesetzgeber hat somit die Beteiligung des Fonds nur für jeden der in Artikel 19bis-11 § 1 bestimmten Fälle eingeräumt.
B.4.4. Die Verfassungsmäßigkeit der fraglichen Bestimmung muss unter dem Blickwinkel der in B.4.1 beschriebenen Zielsetzungen und unter Berücksichtigung der Beschränkungen, die sie implizieren, untersucht werden.
B.5.1. Die zwei Kategorien von Personen, auf die sich Artikel 19bis-11 § 1 Nr. 7 einerseits und Artikel 19bis-11 § 2 andererseits beziehen, befinden sich in objektiv unterschiedlichen Situationen. Bei der ersten Kategorie handelt es sich um Opfer eines Verkehrsunfalls, bei dem der Täter und somit auch dessen Versicherer nicht bekannt sind; in diesem Fall beschränkt sich die Beteiligung des Fonds, der an die Stelle der haftenden Person tritt, lediglich auf die Entschädigung für den Schaden, der sich aus der Körperverletzung ergibt; bei der zweiten Kategorie handelt es sich hingegen um Opfer eines Verkehrsunfalls, an dem verschiedene Fahrzeuge beteiligt sind und bei dem die Beteiligten und somit auch deren Versicherer bekannt sind, aber bei dem es unmöglich ist, den jeweiligen Anteil an der Haftung für den Unfall zu ermitteln; in diesem Fall ist die Beteiligung des Fonds nicht erforderlich.
B.5.2. Die haushaltsmäßigen Beschränkungen, die es rechtfertigen, dass der Gemeinsame Garantiefonds nur eine Entschädigung für den aus der Körperverletzung sich ergebenden Schaden gewährt, gelten jedoch nicht für die Versicherer. Das finanzielle Risiko infolge des Schadens, der sich aus einem Unfall ergibt, bei dem es nicht möglich ist, festzustellen, welches Fahrzeug den Unfall verursacht hat, unterscheidet sich für diese Versicherer nicht wesentlich von dem finanziellen Risiko des Schadens, der sich aus einem Unfall ergibt, bei dem es wohl möglich ist, festzustellen, welches Fahrzeug den Unfall verursacht hat. In den beiden Fällen geht es um ein Risiko, dass durch die Versicherungsprämien gedeckt werden soll. Demzufolge ist es nicht gerechtfertigt, dass diese Versicherer keine Entschädigung für den vom Geschädigten erlittenen Sachschaden zu gewähren hätten.
B.6. In der in B.2.1 erwähnten Auslegung der fraglichen Bestimmung ist die Frage bejahend zu beantworten.
B.7.1. Artikel 19bis-11 § 2 des Gesetzes vom 21. November 1989 lässt sich jedoch dahin auslegen, dass die Versicherer dazu gehalten sind, sowohl den Körperschaden als auch den Sachschaden des Geschädigten zu ersetzen.
B.7.2. Der Umstand, dass der in B.2.3 erwähnte Artikel 4 § 1 Absatz 2 des Gesetzes vom 21. November 1989 die Entschädigung auf Körperverletzung beschränkt, kann diese Auslegung nicht entkräften. An erster Stelle deshalb, weil Artikel 19bis-11 § 2 des Gesetzes vom 21. November 1989 keinerlei Beschränkung hinsichtlich der Art des Schadens des Geschädigten gegenüber den entschädigungspflichtigen Versicherern und ebenfalls keine Bezugnahme auf Artikel 4 § 1 Absatz 2 dieses Gesetzes enthält. An zweiter Stelle deshalb, weil die letztgenannte Bestimmung Bestandteil eines Systems ist, das auf der Haftpflicht und den Haftpflichtversicherungen beruht, während die in Artikel 19bis-11 § 2 des Gesetzes vom 21. November 1989 enthaltene Regel eine automatische Entschädigungsregelung darstellt, die unabhängig ist von der Beteiligung des Fonds und die das Gesetz den Versicherern auferlegt, die die zivilrechtliche Haftung, zu der Kraftfahrzeuge Anlass geben können, decken (mit Ausnahme der Versicherer der Fahrer, die zweifellos nicht zivilrechtlich haftbar gemacht werden können).
B.8. In dieser Auslegung der fraglichen Bestimmung ist die Vorabentscheidungsfrage verneinend zu beantworten.
Aus diesen Gründen:
Der Gerichtshof
erkennt für Recht:
- Dahin ausgelegt, dass er auf die Entschädigung für Sachschäden keine Anwendung finden kann, verstößt Artikel 19bis-11 § 2 des Gesetzes vom 21. November 1989 über die Haftpflichtversicherung in Bezug auf Kraftfahrzeuge gegen die Artikel 10 und 11 der Verfassung.
- Dahin ausgelegt, dass er auf die Entschädigung für Sachschäden Anwendung findet, verstößt Artikel 19bis-11 § 2 des vorerwähnten Gesetzes vom 21. November 1989 nicht gegen die Artikel 10 und 11 der Verfassung.
Erlassen in französischer und niederländischer Sprache, gemäß Artikel 65 des Sondergesetzes vom 6. Januar 1989 über den Verfassungsgerichtshof, am 4. Dezember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35A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2024-04-26T06:02:55+02:00</dcterms:created>
  <dcterms:modified xsi:type="dcterms:W3CDTF">2024-04-26T06:02:55+02:00</dcterms:modified>
</cp:coreProperties>
</file>

<file path=docProps/custom.xml><?xml version="1.0" encoding="utf-8"?>
<Properties xmlns="http://schemas.openxmlformats.org/officeDocument/2006/custom-properties" xmlns:vt="http://schemas.openxmlformats.org/officeDocument/2006/docPropsVTypes"/>
</file>