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Mei 2015 (België). RG 69/2015</w:t>
      </w:r>
      <w:bookmarkEnd w:id="1"/>
    </w:p>
    <w:p/>
    <w:p/>
    <w:p>
      <w:pPr>
        <w:numPr>
          <w:ilvl w:val="0"/>
          <w:numId w:val="2"/>
        </w:numPr>
      </w:pPr>
      <w:r>
        <w:rPr/>
        <w:t xml:space="preserve">Date : 21-05-2015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N-20150521-11</w:t>
      </w:r>
    </w:p>
    <w:p>
      <w:pPr>
        <w:numPr>
          <w:ilvl w:val="0"/>
          <w:numId w:val="2"/>
        </w:numPr>
      </w:pPr>
      <w:r>
        <w:rPr/>
        <w:t xml:space="preserve">Numéro de rôle : 69/2015</w:t>
      </w:r>
    </w:p>
    <w:p/>
    <w:p/>
    <w:p>
      <w:pPr/>
      <w:r>
        <w:rPr/>
        <w:t xml:space="preserve">
Het Grondwettelijk Hof,
samengesteld uit de voorzitters A. Alen en J. Spreutels, en de rechters E. De Groot, L. Lavrysen, J.-P. Snappe, J.-P. Moerman, E. Derycke, T. Merckx-Van Goey, P. Nihoul, F. Daoût, T. Giet en R. Leysen, bijgestaan door de griffier P.-Y. Dutilleux, onder voorzitterschap van voorzitter A. Alen,
wijst na beraad het volgende arrest :
I. Onderwerp van de prejudiciële vraag en rechtspleging
Bij vonnis van 2 april 2014 in zake de vzw « Racing Club Roeselare » tegen de stad Roeselare, waarvan de expeditie ter griffie van het Hof is ingekomen op 14 april 2014, heeft de Politierechtbank West-Vlaanderen, afdeling Kortrijk, de volgende prejudiciële vraag gesteld :
« Schendt artikel 1022 van het Gerechtelijk Wetboek de artikelen 10 en 11 van de Grondwet in zoverre een rechtsplegingsvergoeding ten laste van de gemeente wordt opgelegd wanneer deze in het ongelijk wordt gesteld in een op grond van artikel 119bis, § 12, van de Nieuwe Gemeentewet ingesteld beroep tegen een beslissing van haar GAS-ambtenaar waarin deze optreedt in het algemeen belang en ter vrijwaring van de openbare orde daar waar het openbaar ministerie wanneer het een strafvordering instelt deze vordering in volle onafhankelijkheid kan uitoefenen zonder te moeten rekening houden met enig financieel risico verbonden aan het proces ? ».
(...)
III. In rechte
(...)
B.1.1. Artikel 1022 van het Gerechtelijk Wetboek bepaalt :
«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De rechter motiveert in het bijzonder zijn beslissing op dat punt.
Wanneer meerdere partijen de rechtsplegingsvergoeding ten laste van dezelfde in het ongelijk gestelde partij genieten, bedraagt het bedrag ervan maximum het dubbel van de maximale rechtsplegingsvergoeding waarop de begunstigde die gerechtigd is om de hoogste vergoeding te eisen aanspraak kan maken. Ze wordt door de rechter tussen de partijen verdeeld.
Geen partij kan boven het bedrag van de rechtsplegingsvergoeding worden aangesproken tot betaling van een vergoeding voor de tussenkomst van de advocaat van een andere partij ».
B.1.2. Artikel 2 van de wet van 21 februari 2010 « tot wijziging van de artikelen 1022 van het Gerechtelijk Wetboek en 162bis van het Wetboek van strafvordering » heeft een lid ingevoegd in artikel 1022 van het Gerechtelijk Wetboek krachtens hetwelk geen enkele rechtsplegingsvergoeding verschuldigd is ten laste van de Staat wanneer het openbaar ministerie bij wege van een rechtsvordering in burgerlijke procedures tussenkomt overeenkomstig artikel 138bis, § 1, van hetzelfde Wetboek, of wanneer het arbeidsauditoraat een rechtsvordering instelt voor de arbeidsgerechten overeenkomstig artikel 138bis, § 2, van hetzelfde Wetboek.
Artikel 17 van de wet van 25 april 2014 « ter verbetering van verschillende wetten die een aangelegenheid regelen als bedoeld in artikel 78 van de Grondwet » heeft dat lid aangevuld door erin te voorzien dat geen enkele rechtsplegingsvergoeding ten laste van de Staat verschuldigd is wanneer een publiekrechtelijk rechtspersoon in het algemeen belang als partij optreedt in een geding.
Die twee wetten zijn nog niet in werking getreden en tegen artikel 17 van de wet van 25 april 2014 zijn verschillende beroepen tot vernietiging ingesteld.
B.2. De verwijzende rechter vraagt het Hof of het in het geding zijnde artikel 1022 van het Gerechtelijk Wetboek verenigbaar is met de artikelen 10 en 11 van de Grondwet in zoverre een rechtsplegingsvergoeding ten laste van de gemeente wordt opgelegd wanneer deze in het ongelijk wordt gesteld in een op grond van artikel 119bis, § 12, van de Nieuwe Gemeentewet ingesteld beroep tegen een beslissing van haar GAS-ambtenaar, terwijl het openbaar ministerie, wanneer het een strafvordering instelt, die vordering in volle onafhankelijkheid kan uitoefenen zonder rekening te moeten houden met enig financieel risico verbonden aan het proces.
B.3.1. Het bij de voormelde bepalingen van het Gerechtelijk Wetboek gevestigde beginsel luidt dat iedere partij die in het ongelijk wordt gesteld, gehouden is tot de betaling van de rechtsplegingsvergoeding, die een forfaitaire tegemoetkoming is in de kosten en erelonen van de advocaat van de partij die in het gelijk is gesteld.
B.3.2. Met die bepalingen uit de wet van 21 april 2007 betreffende de verhaalbaarheid van de erelonen en de kosten verbonden aan de bijstand van een advocaat wilde de wetgever een einde maken aan de rechtsonzekerheid die voortvloeide uit een sterk uiteenlopende rechtspraak ter zake (Parl. St., Senaat, 2006-2007, nr. 3-1686/5, p. 14).
Hij wilde overigens voorkomen dat een nieuw proces moest worden ingesteld teneinde het herstel te verkrijgen van de schade die bestaat in de door de winnende partij gemaakte kosten en erelonen van een advocaat.
De wetgever beoogde ten slotte een einde te maken aan het verschil in behandeling ten aanzien van het financiële risico van het proces tussen de partijen bij een burgerlijk proces, waarbij elk van hen in beginsel de verdediging van haar persoonlijke belangen nastreeft. Meer bepaald strekte de keuze van de wetgever om de verhaalbaarheid te verankeren in het burgerlijk procedurerecht en om van de rechtsplegingsvergoeding een forfaitaire deelname in de kosten en erelonen van de advocaat van de winnende partij ten laste van de in het ongelijk gestelde partij te maken, ertoe alle partijen bij een burgerlijk proces op gelijke wijze te behandelen door het financiële risico gelijkelijk onder hen te verdelen. Een dergelijk doel is in overeenstemming met het beginsel van de gelijke toegang tot het gerecht, zoals gewaarborgd bij artikel 6.1 van het Europees Verdrag voor de rechten van de mens.
B.3.3. Dezelfde wet van 21 april 2007 heeft evenwel elke verhaalbaarheid van de kosten en erelonen van advocaten in de betrekkingen tussen de beklaagde en het openbaar ministerie uitgesloten. De artikelen 128, 162bis, 194 en 211 van het Wetboek van strafvordering breiden het beginsel van de verhaalbaarheid enkel voor de betrekkingen tussen de beklaagde en de burgerlijke partij uit tot de strafzaken.
Bij zijn arrest nr. 182/2008 van 18 december 2008 betreffende de beroepen tot vernietiging van de wet van 21 april 2007 heeft het Hof geoordeeld dat de fundamentele verschillen tussen het openbaar ministerie, dat in het belang van de maatschappij belast is met het onderzoek en de vervolging van misdrijven en de strafvordering uitoefent, en de burgerlijke partij, die haar eigen belang nastreeft, de niet-toepassing, ten laste van de Staat, van het systeem van de forfaitaire vergoeding waarin de wet van 21 april 2007 voorziet, konden verantwoorden.
Een dergelijke specifieke regeling is verantwoord rekening houdend met, enerzijds, de bijzondere aard van het strafrechtelijk contentieux, dat tot doel heeft de misdrijven te vervolgen en te bestraffen en dat niet ertoe strekt het bestaan of de schending van een subjectief recht te laten vaststellen, noch, in beginsel, uitspraak te doen over de wettigheid van een handeling van een overheid en gelet op, anderzijds, de specifieke opdracht van het openbaar ministerie of het arbeidsauditoraat in strafzaken - die ermee belast zijn de strafvordering uit naam van de maatschappij uit te oefenen. Ten slotte zijn de functies van het openbaar ministerie en van het arbeidsauditoraat dat, inzake het sociaal strafrecht, de functies van het openbaar ministerie uitvoert (artikelen 145 en 152 van het Gerechtelijk Wetboek) of dat voor de arbeidsrechtbank de vordering instelt bepaald in artikel 138bis, § 2, van het Gerechtelijk Wetboek die vergelijkbaar is met de strafvordering die het openbaar ministerie instelt voor de strafgerechten, vermits die tot doel heeft het plegen van een misdrijf vast te stellen, verankerd in en is hun onafhankelijkheid gewaarborgd bij artikel 151, § 1, van de Grondwet.
B.4.1. De wetgever heeft bij de wet van 20 januari 2014 houdende hervorming van de bevoegdheid, de procedureregeling en de organisatie van de Raad van State, het beginsel van de verhaalbaarheid bij de Raad van State ingevoerd. Artikel 11 van die wet voegt een artikel 30/1 in de gecoördineerde wetten op de Raad van State in, dat luidt :
« Art. 30/1. § 1. De afdeling bestuursrechtspraak kan een rechtsplegingsvergoeding toekennen, die een forfaitaire tegemoetkoming is in de kosten en honoraria van de advocaat van de in het gelijk gestelde partij.
Na het advies ingewonnen te hebben van de Orde van Vlaamse Balies en van de ' Ordre des barreaux francophones et germanophone ' bepaalt de Koning bij een besluit vastgesteld na overleg in de Ministerraad de basisbedragen en de minimale en maximale bedragen van de rechtsplegingsvergoeding, afhankelijk van onder meer de aard van de zaak en het belang van het geschil.
§ 2. De afdeling bestuursrechtspraak kan, bij met bijzondere redenen omklede beslissing, de vergoeding verlagen of verhogen, zonder echter de door de Koning voorziene maximale en minimale bedragen te overschrijden. In haar beoordeling houdt ze rekening met :
1° de financiële draagkracht van de in het ongelijk gestelde partij, om het bedrag van de vergoeding te verlagen;
2° de complexiteit van de zaak;
3° de kennelijk onredelijke aard van de situatie.
Indien de in het ongelijk gestelde partij juridische tweedelijnsbijstand geniet, wordt de rechtsplegingsvergoeding vastgelegd op het door de Koning bepaalde minimale bedrag, behalve in geval van een kennelijk onredelijke situatie. Wat dit betreft, omkleedt de afdeling bestuursrechtspraak haar beslissing tot vermindering of verhoging met bijzondere redenen.
Wanneer meer partijen de rechtsplegingsvergoeding ten laste van een of meer in het ongelijk gestelde partijen genieten, is het bedrag ervan maximaal het dubbel van de maximale rechtsplegingsvergoeding waarop de begunstigde die gerechtigd is om de hoogste vergoeding te eisen, aanspraak kan maken. Ze wordt door de afdeling bestuursrechtspraak tussen de partijen verdeeld.
Geen partij kan boven het bedrag van de rechtsplegingsvergoeding worden aangesproken tot betaling van een vergoeding voor de tussenkomst van de advocaat van een andere partij. De tussenkomende partijen kunnen niet worden gehouden tot de betaling van deze rechtsplegingsvergoeding of ervan genieten ».
B.4.2. De wetgever heeft met die wijziging in de gecoördineerde wetten op de Raad van State, uitdrukkelijk aanvaard dat het nastreven van het algemeen belang door één van de partijen bij de procedure niet uitsluit dat zij kan worden veroordeeld tot de betaling van een rechtsplegingsvergoeding wanneer zij in het ongelijk wordt gesteld.
Het Hof hecht in dat verband bijzondere aandacht aan het feit dat de wetgever hoofdzakelijk ervoor heeft gekozen het stelsel van de verhaalbaarheid bepaald in artikel 1022 van het Gerechtelijk Wetboek om te zetten naar het contentieux voor de Raad van State, terwijl dat stelsel bedoeld is om in principe het herstel te regelen van de procesrisico's in het kader van geschillen tussen privépersonen die hun belangen nastreven.
B.4.3. Hieruit vloeit voort dat de wetgever uitdrukkelijk heeft aanvaard dat het opleggen van een forfaitaire rechtsplegingsvergoeding niet als dusdanig van dien aard was dat het de onafhankelijkheid bedreigt van de overheden wanneer zij - in voorkomend geval als partij bij een jurisdictionele procedure - de aan hen toevertrouwde opdracht van algemeen belang moeten verzekeren.
B.5.1. Die stellingname van de wetgever vormt een wezenlijke breuk in de ontwikkeling van het stelsel van de rechtsplegingsvergoeding en heeft tot gevolg dat, hoewel zij, zoals het openbaar ministerie of het arbeidsauditoraat in strafzaken, een opdracht van algemeen belang nastreven, de overheden, eisende of verwerende partijen in het kader van een burgerlijk geschil, kunnen worden onderworpen aan het stelsel van de rechtsplegingsvergoeding.
B.5.2. Hieruit vloeit voort dat het objectieve karakter van het contentieux voor de Raad van State niet redelijkerwijs toelaat de overheid die voor dat rechtscollege partij is en de overheid die partij is bij een geschil voor een rechtscollege van de rechterlijke orde, zoals in geval van een beroep tegen een door de GAS-ambtenaar opgelegde geldboete, verschillend te behandelen.
De in B.3.3 vermelde redenen die verantwoorden dat de verhaalbaarheid van de kosten en de erelonen van de advocaten in de betrekkingen tussen de beklaagde en het openbaar ministerie wordt uitgesloten, ontbreken te dezen.
B.6. De prejudiciële vraag dient ontkennend te worden beantwoord.
Om die redenen,
het Hof
zegt voor recht :
Artikel 1022 van het Gerechtelijk Wetboek, vóór de inwerkingtreding van de wet van 21 februari 2010 « tot wijziging van de artikelen 1022 van het Gerechtelijk Wetboek en 162bis van het Wetboek van strafvordering » en van de wet van 25 april 2014 « ter verbetering van verschillende wetten die een aangelegenheid regelen als bedoeld in artikel 78 van de Grondwet », schendt de artikelen 10 en 11 van de Grondwet niet.
Aldus gewezen in het Nederlands en het Frans, overeenkomstig artikel 65 van de bijzondere wet van 6 januari 1989 op het Grondwettelijk Hof, op 21 mei 2015.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E90C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2024-04-26T09:20:03+02:00</dcterms:created>
  <dcterms:modified xsi:type="dcterms:W3CDTF">2024-04-26T09:20:03+02:00</dcterms:modified>
</cp:coreProperties>
</file>

<file path=docProps/custom.xml><?xml version="1.0" encoding="utf-8"?>
<Properties xmlns="http://schemas.openxmlformats.org/officeDocument/2006/custom-properties" xmlns:vt="http://schemas.openxmlformats.org/officeDocument/2006/docPropsVTypes"/>
</file>