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exécution de l'arrêté ministériel du 18 novembre 2003 portant exécution de l'arrêté du Gouvernement flamand du 10 octobre 2003 portant octroi d'une aide aux petites et moyennes entreprises pour des investissements en Région flamande. .</w:t>
      </w:r>
      <w:bookmarkEnd w:id="1"/>
    </w:p>
    <w:p/>
    <w:p/>
    <w:p>
      <w:pPr>
        <w:numPr>
          <w:ilvl w:val="0"/>
          <w:numId w:val="2"/>
        </w:numPr>
      </w:pPr>
      <w:r>
        <w:rPr/>
        <w:t xml:space="preserve">Date : 13-06-2007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2007035977</w:t>
      </w:r>
    </w:p>
    <w:p/>
    <w:p/>
    <w:p>
      <w:pPr/>
      <w:r>
        <w:rPr/>
        <w:t xml:space="preserve">Article M (NOTE : Pas de version française, voir version néerlandaise).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40F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2024-05-30T00:58:36+02:00</dcterms:created>
  <dcterms:modified xsi:type="dcterms:W3CDTF">2024-05-30T00:58:36+02:00</dcterms:modified>
</cp:coreProperties>
</file>

<file path=docProps/custom.xml><?xml version="1.0" encoding="utf-8"?>
<Properties xmlns="http://schemas.openxmlformats.org/officeDocument/2006/custom-properties" xmlns:vt="http://schemas.openxmlformats.org/officeDocument/2006/docPropsVTypes"/>
</file>