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Avis relatif au taux d'intérêt applicable en cas de retard de paiement dans les transactions commerciales : premier semestre de 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2010003060</w:t>
      </w:r>
    </w:p>
    <w:p/>
    <w:p/>
    <w:p>
      <w:pPr/>
      <w:r>
        <w:rPr/>
        <w:t xml:space="preserve">Article M Conformément à l'article 5, alinéa 2, de la loi du 2 août 2002 concernant la lutte contre le retard de paiement dans les transactions commerciales, le Ministre des Finances communique le taux d'intérêt déterminé suivant la méthode expliquée à l'alinéa 1er de l'article 5, précité.
  Pour le premier semestre de 2010, le taux d'intérêt applicable en cas de retard de paiement dans les transactions commerciales s'élève à : 8 %.
  D. REYNDERS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22C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2024-05-28T21:26:02+02:00</dcterms:created>
  <dcterms:modified xsi:type="dcterms:W3CDTF">2024-05-28T21:26:02+02:00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