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vierde aanpassing van de algemene uitgavenbegroting voor het begrotingsjaar 2011</w:t>
      </w:r>
      <w:bookmarkEnd w:id="1"/>
    </w:p>
    <w:p/>
    <w:p/>
    <w:p>
      <w:pPr>
        <w:numPr>
          <w:ilvl w:val="0"/>
          <w:numId w:val="2"/>
        </w:numPr>
      </w:pPr>
      <w:r>
        <w:rPr/>
        <w:t xml:space="preserve">Date : 21-12-2011</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2011003434</w:t>
      </w:r>
    </w:p>
    <w:p/>
    <w:p/>
    <w:p>
      <w:pPr/>
      <w:r>
        <w:rPr/>
        <w:t xml:space="preserve">Hoofdstuk 1. Algemene bepalingen
Artikel 1 Deze wet regelt een aangelegenheid bedoeld in artikel 74, 3° van de Grondwet.
Artikel 2 De Algemene uitgavenbegroting voor het begrotingsjaar 2011 wordt aangepast overeenkomstig de totalen van de programma's zoals vermeld in de bij deze wet gevoegde aangepaste departementale begrotingen.
Artikel 3 De door deze wet geopende kredieten zullen door de algemene middelen van de Schatkist worden gedekt.
Artikel 4 Deze wet treedt in werking de dag waarop zij in het Belgisch Staatsblad wordt bekendgemaakt.
  Kondigen deze wet af, bevelen dat zij met 's Lands zegel zal worden bekleed en door het Belgisch Staatsblad zal worden bekendgemaakt.
  Gegeven te Brussel, 21 december 2011.
  ALBERT
  Van Koningswege :
  De Eerste Minister,
  E. DI RUPO
  De Minister van Financiën,
  S. VANACKERE
  De Minister van Begroting,
  O. CHASTEL
  Met s'Lands zegel gezegeld :
  De Minister van Justitie,
  Mevr. A. TURTELBOOM
  BIJLAGE.
Artikel N Tabel gevoegd bij de wet
  (Tabel niet opgenomen om technische redenen, zie B.St. van 30-12-2011, p. 81588-81638)</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ECB4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2024-05-28T21:42:02+02:00</dcterms:created>
  <dcterms:modified xsi:type="dcterms:W3CDTF">2024-05-28T21:42:02+02:00</dcterms:modified>
</cp:coreProperties>
</file>

<file path=docProps/custom.xml><?xml version="1.0" encoding="utf-8"?>
<Properties xmlns="http://schemas.openxmlformats.org/officeDocument/2006/custom-properties" xmlns:vt="http://schemas.openxmlformats.org/officeDocument/2006/docPropsVTypes"/>
</file>