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goedkeuring van het bijzonder waterverkoopreglement van IWVB in uitvoering van artikel 16, § 2 van het decreet van 24 mei 2002 betreffende water bestemd voor menselijke aanwending</w:t>
      </w:r>
      <w:bookmarkEnd w:id="1"/>
    </w:p>
    <w:p/>
    <w:p/>
    <w:p>
      <w:pPr>
        <w:numPr>
          <w:ilvl w:val="0"/>
          <w:numId w:val="2"/>
        </w:numPr>
      </w:pPr>
      <w:r>
        <w:rPr/>
        <w:t xml:space="preserve">Date : 18-02-2013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2013201362</w:t>
      </w:r>
    </w:p>
    <w:p/>
    <w:p/>
    <w:p>
      <w:pPr/>
      <w:r>
        <w:rPr/>
        <w:t xml:space="preserve">Artikel 1 Het bijzonder waterverkoopreglement van IWVB dat werd ingediend op 27 november 2012 wordt goedgekeurd.
Artikel 2 Tegen deze beslissing kan binnen zestig dagen na kennisneming een beroep tot nietigverklaring ingediend worden bij de Raad van State.
  Het verzoekschrift dient aangetekend te worden neergelegd bij de Raad van State samen met drie door de ondertekenaar eensluidend verklaarde afschriften en bovendien zoveel afschriften als er tegenpartijen zijn. Bevat het verzoekschrift tot nietigverklaring tevens een vordering tot schorsing van de tenuitvoerlegging van de bestreden akte, dan bevat het verzoekschrift negen door de ondertekenaar eensluidend verklaarde afschriften (artikel 85 van het procedurereglement van de Raad van State, zoals gewijzigd door het koninklijk besluit van 25 april 2007).
  Brussel, 18 februari 2013.
  De Vlaamse minister van Leefmilieu, Natuur en Cultuur,
  J. SCHAUVLIEGE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C460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2024-05-28T20:36:54+02:00</dcterms:created>
  <dcterms:modified xsi:type="dcterms:W3CDTF">2024-05-28T20:36:54+02:00</dcterms:modified>
</cp:coreProperties>
</file>

<file path=docProps/custom.xml><?xml version="1.0" encoding="utf-8"?>
<Properties xmlns="http://schemas.openxmlformats.org/officeDocument/2006/custom-properties" xmlns:vt="http://schemas.openxmlformats.org/officeDocument/2006/docPropsVTypes"/>
</file>