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2004009260</w:t>
      </w:r>
    </w:p>
    <w:p>
      <w:pPr>
        <w:numPr>
          <w:ilvl w:val="0"/>
          <w:numId w:val="2"/>
        </w:numPr>
      </w:pPr>
      <w:r>
        <w:rPr/>
        <w:t xml:space="preserve">Auteur : SERVICE PUBLIC FEDERAL JUSTICE</w:t>
      </w:r>
    </w:p>
    <w:p/>
    <w:p/>
    <w:p>
      <w:pPr/>
      <w:r>
        <w:rPr/>
        <w:t xml:space="preserve">Ordre judiciaire. - Places vacantes
juge consulaire au tribunal de commerce :
- d'Hasselt : 1 (à partir du 1
er janvier 2005);
- de Charleroi : 1 (à partir du 1
er janvier 2005). 
Toute candidature à une nomination dans l'Ordre judiciaire doit être adressée, à peine de déchéance, par lettre recommandée à la poste à Mme la Ministre de la Justice, Direction generale de l'Organisation judiciaire - Service du Personnel - 3/P/O.J. I, boulevard de Waterloo 115, 1000 Bruxelles, dans un délai d'un mois à dater de la publication de la vacance au Moniteur belge (article 287 du Code judiciaire).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9888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2024-05-29T05:55:58+02:00</dcterms:created>
  <dcterms:modified xsi:type="dcterms:W3CDTF">2024-05-29T05:55:58+02:00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