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Décision anticipée n° Ci.COM/550 CDB dd. 19.03.2001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19-03-2001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Regelgeving</w:t>
      </w:r>
    </w:p>
    <w:p>
      <w:pPr>
        <w:numPr>
          <w:ilvl w:val="0"/>
          <w:numId w:val="2"/>
        </w:numPr>
      </w:pPr>
      <w:r>
        <w:rPr/>
        <w:t xml:space="preserve">Type : Prior agreements art. 345 WIB 92</w:t>
      </w:r>
    </w:p>
    <w:p>
      <w:pPr>
        <w:numPr>
          <w:ilvl w:val="0"/>
          <w:numId w:val="2"/>
        </w:numPr>
      </w:pPr>
      <w:r>
        <w:rPr/>
        <w:t xml:space="preserve">Subdomein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Décision anticipée n° Ci.COM/550 CDB dd. 19.03.2001 
       Décision anticipée n° Ci.COM/550 CDB dd. 19.03.2001 
      Document 
          Content exists in : fr  nl  
 Search in text:  
          Print    E-mail    Show properties  
       Properties
       Document type : Prior agreements art. 345 WIB 92
       Title : Décision anticipée n° Ci.COM/550 CDB dd. 19.03.2001
       Tax year : 2005
       Document date : 19/03/2001
       Keywords : Fusion de sociétés / Fusion fiscalement neutre
       Document language : FR
       Name : COM/550
       Version : 1
       Ci.COM/550 CDB 
       Décision anticipée n° Ci.COM/550 CDB dd. 19.03.2001
       Bull. n° 831, pag. 3140 
          Fusion de sociétés
    Fusion fiscalement neutre 
 La demande vise à obtenir un accord préalable sur le fait que la fusion par absorption de la SA X par la SA Y, répond à des besoins légitimes de caractère financier ou économique, en vue d'obtenir le régime visé à l'art. 211, § 1 
       er, CIR 92. 
Les sociétés précitées appartiennent à deux groupes différents actifs mondialement dans le même secteur. 
La Commission des accords fiscaux préalables a décidé de donner l'accord préalable pour les raisons suivantes: 
          - 
          la fusion par absorption projetée est la conséquence de l'absorption de la société-mère X par la société-mère Y et cadre dans l'intégration mondiale des deux groupes, tendant à une simplification de la structure du groupe par la conservation dans chaque pays d'un nombre minimum d'entités juridiques; sur le plan international, ce processus d'intégration entre les deux groupes est déjà accompli ou en cours, ou est planifié dans un avenir proche dans une quinzaine de pays; 
          - 
          l'union des deux groupes a pour but d'obtenir des synergies importantes et de permettre une meilleure pénétration du marché pour la gamme de produits existante; 
          - 
          la restructuration au niveau de la Belgique, à savoir la fusion par absorption de la SA X par la SA Y, fait partie du processus d'intégration précité; 
          - 
          en outre, d'après la requête, aucun motif fiscal ne semble être à la base de l'opération projetée.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119F7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2024-05-28T22:22:28+02:00</dcterms:created>
  <dcterms:modified xsi:type="dcterms:W3CDTF">2024-05-28T22:22:28+02:00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