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Maart 1993 (België). RG M93.0006N</w:t>
      </w:r>
      <w:bookmarkEnd w:id="1"/>
    </w:p>
    <w:p/>
    <w:p/>
    <w:p>
      <w:pPr>
        <w:numPr>
          <w:ilvl w:val="0"/>
          <w:numId w:val="2"/>
        </w:numPr>
      </w:pPr>
      <w:r>
        <w:rPr/>
        <w:t xml:space="preserve">Datum : 29-03-1993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N-19930329-7</w:t>
      </w:r>
    </w:p>
    <w:p>
      <w:pPr>
        <w:numPr>
          <w:ilvl w:val="0"/>
          <w:numId w:val="2"/>
        </w:numPr>
      </w:pPr>
      <w:r>
        <w:rPr/>
        <w:t xml:space="preserve">Rolnummer : M93.0006N</w:t>
      </w:r>
    </w:p>
    <w:p/>
    <w:p/>
    <w:p>
      <w:pPr/>
      <w:r>
        <w:rPr/>
        <w:t xml:space="preserve">HET HOF; - Gelet op de bestreden beslissing, op 2 december 1992 door de Herkeuringsraad van de provincie Antwerpen gewezen;
 Overwegende dat de voorziening gericht is tegen een beslissing waarbij de herkeuringsraad, met toepassing van artikel 45, alinéa 1, van de Dienstplichtwet, de inobservatiestelling van eiser gelast;
 Dat cassatieberoep tegen een dusdanige beslissing, ingevolge artikel 1077 van het Gerechtelijk Wetboek slechts ontvankelijk is nadat de herkeuringsraad over de dienstgeschiktheid van de dienstplichtige uitspraak heeft gedaan, wat te dezen niet het geval is;
 Dat de voorziening voorbarig, mitsdien niet ontvankelijk is;
 Om die redenen, verwerpt de voorziening.</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7BA3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2024-04-25T05:42:45+02:00</dcterms:created>
  <dcterms:modified xsi:type="dcterms:W3CDTF">2024-04-25T05:42:45+02:00</dcterms:modified>
</cp:coreProperties>
</file>

<file path=docProps/custom.xml><?xml version="1.0" encoding="utf-8"?>
<Properties xmlns="http://schemas.openxmlformats.org/officeDocument/2006/custom-properties" xmlns:vt="http://schemas.openxmlformats.org/officeDocument/2006/docPropsVTypes"/>
</file>