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27 Juli 1999 (België). RG 97049/524</w:t>
      </w:r>
      <w:bookmarkEnd w:id="1"/>
    </w:p>
    <w:p/>
    <w:p/>
    <w:p>
      <w:pPr>
        <w:numPr>
          <w:ilvl w:val="0"/>
          <w:numId w:val="2"/>
        </w:numPr>
      </w:pPr>
      <w:r>
        <w:rPr/>
        <w:t xml:space="preserve">Datum : 27-07-1999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N-19990727-12</w:t>
      </w:r>
    </w:p>
    <w:p>
      <w:pPr>
        <w:numPr>
          <w:ilvl w:val="0"/>
          <w:numId w:val="2"/>
        </w:numPr>
      </w:pPr>
      <w:r>
        <w:rPr/>
        <w:t xml:space="preserve">Rolnummer : 97049/524</w:t>
      </w:r>
    </w:p>
    <w:p/>
    <w:p/>
    <w:p>
      <w:pPr/>
      <w:r>
        <w:rPr/>
        <w:t xml:space="preserve">(...)
 Uit de stukken blijkt dat verzoeker, na een opzettelijk verkeersincident waarbij hij als fietser was betrokken met een vrachtwagen met Nederlandse nummerplaat, zijn wagen heeft genomen om de bewuste vrachtwagen te lokaliseren. Toen hij de bestuurder aansprak kreeg hij van deze laatste alsook van de bijrijder klappen te verwerken.
 Bij verstekvonnis dd. 29 april 1996 van de correctionele rechtbank van ... werd de heer ...Z... strafrechtelijk veroordeeld. Aan verzoeker werd als burgerlijke partij tevens een schadevergoeding toegekend van 198.904 frank.
 Het verzoekschrift aan de Commissie is regelmatig naar de vorm en het werd tijdig neergelegd. Aan de ontvankelijkheidsvoorwaarden werd voldaan. De kansen op verhaal tegenover de daders zijn nagenoeg onbestaande.
 In zijn verzoekschrift vermeldt verzoeker bij de begroting van zijn schade ook een post voertuigschade. Materiële schade kan inderdaad luidens de limitatieve opsomming van artikel 32 §1 voor toekenning van hulp in beperkte mate in aanmerking genomen worden. Uit het strafdossier, waarvan de Commissie kennis heeft genomen, blijkt niet onomstootbaar dat deze voertuigschade het rechtstreekse gevolg is van het tegen de persoon van verzoeker uitgeoefend geweld.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32 en 33 van de wet van 1 augustus 1985 nageleefd te worden.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ontvankelijk.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3356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2024-03-29T14:17:59+01:00</dcterms:created>
  <dcterms:modified xsi:type="dcterms:W3CDTF">2024-03-29T14:17:59+01:00</dcterms:modified>
</cp:coreProperties>
</file>

<file path=docProps/custom.xml><?xml version="1.0" encoding="utf-8"?>
<Properties xmlns="http://schemas.openxmlformats.org/officeDocument/2006/custom-properties" xmlns:vt="http://schemas.openxmlformats.org/officeDocument/2006/docPropsVTypes"/>
</file>