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(België). RG 175/2019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14-11-2019</w:t>
      </w:r>
    </w:p>
    <w:p>
      <w:pPr>
        <w:numPr>
          <w:ilvl w:val="0"/>
          <w:numId w:val="2"/>
        </w:numPr>
      </w:pPr>
      <w:r>
        <w:rPr/>
        <w:t xml:space="preserve">Taal : Duits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D-20191114-1</w:t>
      </w:r>
    </w:p>
    <w:p>
      <w:pPr>
        <w:numPr>
          <w:ilvl w:val="0"/>
          <w:numId w:val="2"/>
        </w:numPr>
      </w:pPr>
      <w:r>
        <w:rPr/>
        <w:t xml:space="preserve">Rolnummer : 175/2019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01-05-2024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002CE1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2024-05-01T23:55:29+02:00</dcterms:created>
  <dcterms:modified xsi:type="dcterms:W3CDTF">2024-05-01T23:55:29+02:00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