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betreffende de uitgifte van " Schatkistbons-Zilverfonds ".</w:t>
      </w:r>
      <w:bookmarkEnd w:id="1"/>
    </w:p>
    <w:p/>
    <w:p/>
    <w:p>
      <w:pPr>
        <w:numPr>
          <w:ilvl w:val="0"/>
          <w:numId w:val="2"/>
        </w:numPr>
      </w:pPr>
      <w:r>
        <w:rPr/>
        <w:t xml:space="preserve">Datum : 21-03-2002</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2002003122</w:t>
      </w:r>
    </w:p>
    <w:p/>
    <w:p/>
    <w:p>
      <w:pPr/>
      <w:r>
        <w:rPr/>
        <w:t xml:space="preserve">Artikel 1 § 1. Dit besluit is van toepassing op de financieringsinstrumenten van de Schatkist die uitsluitend ten bate van het Zilverfonds worden uitgegeven.
  § 2. Deze financieringsinstrumenten worden " Schatkistbons-Zilverfonds " genoemd.
  Zij worden uitgegeven op verzoek van het Zilverfonds.
  Zij brengen interest op en zij zijn niet-verhandelbaar.
Artikel 2 De uitgiftemodaliteiten van de " Schatkistbons-Zilverfonds " worden bepaald na overleg tussen de Schatkist en het Zilverfonds.
Artikel 3 De " Schatkistbons-Zilverfonds " hebben de vorm van een op naam gestelde inschrijving op een grootboek van de Staatsschuld, volgens de modaliteiten bepaald bij het koninklijk besluit van 23 januari 1991 betreffende de effecten van de Staatsschuld.
Artikel 4 De " Schatkistbons-Zilverfonds " brengen interest op aan de rentevoet bepaald door het Agentschap van de Schuld, in overeenstemming met de financieringskost van de Schatkist in de markt voor gelijkaardige bedragen, vervaldagen en uitgiftemodaliteiten.
Artikel 5 De " Schatkistbons-Zilverfonds " zijn terugbetaalbaar op hun eindvervaldag.
  Voormelde bons kunnen evenwel, geheel of gedeeltelijk, vervroegd terugbetaald worden aan marktvoorwaarden en na gezamenlijk akkoord tussen het Zilverfonds en de Schatkist.
Artikel 6 De ambtenaren-generaal van de Administratie der Thesaurie en de personeelsleden van het Agentschap van de Schuld die daartoe werden aangeduid, zijn gemachtigd om " Schatkistbons - Zilverfonds " uit te geven.
Artikel 7 Dit besluit treedt in werking de dag waarop het in het Belgisch Staatsblad wordt bekendgemaakt.
  Brussel, 21 maart 2002.
  D. REYNDERS.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B923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2024-06-08T12:11:15+02:00</dcterms:created>
  <dcterms:modified xsi:type="dcterms:W3CDTF">2024-06-08T12:11:15+02:00</dcterms:modified>
</cp:coreProperties>
</file>

<file path=docProps/custom.xml><?xml version="1.0" encoding="utf-8"?>
<Properties xmlns="http://schemas.openxmlformats.org/officeDocument/2006/custom-properties" xmlns:vt="http://schemas.openxmlformats.org/officeDocument/2006/docPropsVTypes"/>
</file>