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royal fixant les délais de préavis pour les entreprises fabriquant principalement du tabac à fumer, à mâcher et à priser, et ressortissant à la Commission paritaire de l'industrie des tabacs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2005203050</w:t>
      </w:r>
    </w:p>
    <w:p/>
    <w:p/>
    <w:p>
      <w:pPr/>
      <w:r>
        <w:rPr/>
        <w:t xml:space="preserve">(Abrogé) &lt;AR 2008-03-18/31, Art. 5, 002;  En vigueur :  02-04-2008&gt;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13A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2024-05-28T23:11:33+02:00</dcterms:created>
  <dcterms:modified xsi:type="dcterms:W3CDTF">2024-05-28T23:11:33+02:00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