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fixant, pour les entreprises ressortissant à la Commission paritaire de l'ameublement et de l'industrie transformatrice du bois, les conditions dans lesquelles le manque de travail résultant de causes économiques suspend totalement l'exécution du contrat de travail d'ouvrier .</w:t>
      </w:r>
      <w:bookmarkEnd w:id="1"/>
    </w:p>
    <w:p/>
    <w:p/>
    <w:p>
      <w:pPr>
        <w:numPr>
          <w:ilvl w:val="0"/>
          <w:numId w:val="2"/>
        </w:numPr>
      </w:pPr>
      <w:r>
        <w:rPr/>
        <w:t xml:space="preserve">Datum : 21-11-2006</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2006203745</w:t>
      </w:r>
    </w:p>
    <w:p/>
    <w:p/>
    <w:p>
      <w:pPr/>
      <w:r>
        <w:rPr/>
        <w:t xml:space="preserve">Article 1 Le présent arrêté s'applique aux employeurs et aux ouvriers des entreprises ressortissant à la Commission paritaire de l'ameublement et de l'industrie transformatrice du bois.
Article 2 En cas de manque total de travail résultant de causes économiques, l'exécution du contrat de travail d'ouvrier peut être totalement suspendue moyennant notification préalable d'au moins trois jours.
  La notification se fait par l'affichage d'un avis à un endroit apparent dans les locaux de l'entreprise.
  Lorsque l'ouvrier est absent le jour de l'affichage, la notification lui est adressée par la poste le même jour.
Article 3 § 1er. La durée de la suspension totale de l'exécution du contrat de travail ne peut dépasser quatre semaines.
  § 2. Dans les cas et les procédures visés aux articles 5 et 6, la durée de la suspension totale de l'exécution du contrat de travail ne peut dépasser vingt-six semaines.
  § 3. Dans les cas visés aux §§ 1er et 2, et lorsque la suspension a atteint la durée maximum respective, l'employeur doit rétablir le régime de travail à temps plein pendant une semaine complète de travail avant de pouvoir entamer une nouvelle suspension complète.
Article 4 La notification visée à l'article 2 mentionne la date à laquelle cette suspension totale de l'exécution du contrat prendra cours et la date à laquelle cette suspension prendra fin et les dates auxquelles les ouvriers seront en chômage.
Article 5 Pour l'application de l'article 3, § 2, les entreprises concernées doivent adresser au préalable par lettre recommandée une requête motivée au président de la Commission paritaire de l'ameublement et de l'industrie transformatrice du bois.
  La Commission paritaire restreinte se prononce sur chaque requête individuelle.
  Le président de la Commission paritaire communique la décision à l'entreprise concernée. Lorsque la décision est favorable, elle est également communiquée par le président au directeur compétent du bureau du chômage.
Article 6 La dérogation prévue à l'article 3, § 2, s'applique aux entreprises :
  1° dont les résultats nets avant imposition, majorés des amortissements, sont négatifs pour l'année précédant la demande de dispense et dont les résultats des deux exercices précédant la demande présentent un solde déficitaire;
  2° qui ont perdu la moitié de leur capital;
  3° qui ont fait les communications visées au chapitre II de l'arrêté royal du 24 mai 1976 sur les licenciements collectifs;
  4° qui en application des dispositions de l'article 51 de la loi du 3 juillet 1978 relative aux contrats de travail, ont connu, au cours des deux années civiles précédant la demande de dispense, un nombre de jours de chômage au moins égal à 50 p.c. du nombre total de jours déclarés pour les ouvriers à l'Office national de Sécurité sociale.
Article 7 Le présent arrêté entre en vigueur le 1er janvier 2007 et cessera d'être en vigueur le 1er janvier 2009.
Article 8 Notre Ministre de l'Emploi est chargé de l'exécution du présent arrêté.
  Donné à Bruxelles, le 21 novembre 2006.
  ALBERT
  Par le Roi :
  Le Ministre de l'Emploi,
  P. VANVELTHOVEN.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1D0B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2024-06-08T09:29:43+02:00</dcterms:created>
  <dcterms:modified xsi:type="dcterms:W3CDTF">2024-06-08T09:29:43+02:00</dcterms:modified>
</cp:coreProperties>
</file>

<file path=docProps/custom.xml><?xml version="1.0" encoding="utf-8"?>
<Properties xmlns="http://schemas.openxmlformats.org/officeDocument/2006/custom-properties" xmlns:vt="http://schemas.openxmlformats.org/officeDocument/2006/docPropsVTypes"/>
</file>